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line="424" w:lineRule="auto" w:before="154"/>
        <w:ind w:left="355" w:right="1161" w:firstLine="0"/>
        <w:jc w:val="center"/>
        <w:rPr>
          <w:sz w:val="71"/>
        </w:rPr>
      </w:pPr>
      <w:r>
        <w:rPr>
          <w:spacing w:val="5"/>
          <w:sz w:val="71"/>
        </w:rPr>
        <w:t>张北县6.25MW</w:t>
      </w:r>
      <w:r>
        <w:rPr>
          <w:spacing w:val="3"/>
          <w:sz w:val="71"/>
        </w:rPr>
        <w:t>村级分布式 屋顶光伏电站运维服务项目</w:t>
      </w:r>
    </w:p>
    <w:p>
      <w:pPr>
        <w:pStyle w:val="BodyText"/>
        <w:rPr>
          <w:sz w:val="70"/>
        </w:rPr>
      </w:pPr>
    </w:p>
    <w:p>
      <w:pPr>
        <w:pStyle w:val="BodyText"/>
        <w:rPr>
          <w:sz w:val="70"/>
        </w:rPr>
      </w:pPr>
    </w:p>
    <w:p>
      <w:pPr>
        <w:spacing w:before="586"/>
        <w:ind w:left="2681" w:right="0" w:firstLine="0"/>
        <w:jc w:val="left"/>
        <w:rPr>
          <w:sz w:val="71"/>
        </w:rPr>
      </w:pPr>
      <w:r>
        <w:rPr>
          <w:sz w:val="71"/>
        </w:rPr>
        <w:t>招 标 文 件</w:t>
      </w:r>
    </w:p>
    <w:p>
      <w:pPr>
        <w:pStyle w:val="Heading7"/>
        <w:spacing w:before="324"/>
        <w:ind w:left="3051"/>
        <w:rPr>
          <w:rFonts w:ascii="宋体" w:eastAsia="宋体" w:hint="eastAsia"/>
        </w:rPr>
      </w:pPr>
      <w:r>
        <w:rPr>
          <w:rFonts w:ascii="宋体" w:eastAsia="宋体" w:hint="eastAsia"/>
        </w:rPr>
        <w:t>项目编号：HBSS-2025-003</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4"/>
        <w:rPr>
          <w:sz w:val="41"/>
        </w:rPr>
      </w:pPr>
    </w:p>
    <w:p>
      <w:pPr>
        <w:pStyle w:val="Heading7"/>
        <w:tabs>
          <w:tab w:pos="1627" w:val="left" w:leader="none"/>
          <w:tab w:pos="2323" w:val="left" w:leader="none"/>
        </w:tabs>
        <w:spacing w:line="424" w:lineRule="auto"/>
        <w:ind w:left="931" w:right="1640"/>
        <w:jc w:val="center"/>
        <w:rPr>
          <w:rFonts w:ascii="宋体" w:eastAsia="宋体" w:hint="eastAsia"/>
        </w:rPr>
      </w:pPr>
      <w:r>
        <w:rPr>
          <w:rFonts w:ascii="宋体" w:eastAsia="宋体" w:hint="eastAsia"/>
        </w:rPr>
        <w:t>招</w:t>
        <w:tab/>
        <w:t>标</w:t>
        <w:tab/>
      </w:r>
      <w:r>
        <w:rPr>
          <w:rFonts w:ascii="宋体" w:eastAsia="宋体" w:hint="eastAsia"/>
          <w:spacing w:val="-3"/>
        </w:rPr>
        <w:t>人：</w:t>
      </w:r>
      <w:r>
        <w:rPr>
          <w:rFonts w:ascii="宋体" w:eastAsia="宋体" w:hint="eastAsia"/>
        </w:rPr>
        <w:t>张</w:t>
      </w:r>
      <w:r>
        <w:rPr>
          <w:rFonts w:ascii="宋体" w:eastAsia="宋体" w:hint="eastAsia"/>
          <w:spacing w:val="-3"/>
        </w:rPr>
        <w:t>北县大</w:t>
      </w:r>
      <w:r>
        <w:rPr>
          <w:rFonts w:ascii="宋体" w:eastAsia="宋体" w:hint="eastAsia"/>
        </w:rPr>
        <w:t>容</w:t>
      </w:r>
      <w:r>
        <w:rPr>
          <w:rFonts w:ascii="宋体" w:eastAsia="宋体" w:hint="eastAsia"/>
          <w:spacing w:val="-3"/>
        </w:rPr>
        <w:t>新能源</w:t>
      </w:r>
      <w:r>
        <w:rPr>
          <w:rFonts w:ascii="宋体" w:eastAsia="宋体" w:hint="eastAsia"/>
        </w:rPr>
        <w:t>开</w:t>
      </w:r>
      <w:r>
        <w:rPr>
          <w:rFonts w:ascii="宋体" w:eastAsia="宋体" w:hint="eastAsia"/>
          <w:spacing w:val="-3"/>
        </w:rPr>
        <w:t>发有限</w:t>
      </w:r>
      <w:r>
        <w:rPr>
          <w:rFonts w:ascii="宋体" w:eastAsia="宋体" w:hint="eastAsia"/>
        </w:rPr>
        <w:t>公</w:t>
      </w:r>
      <w:r>
        <w:rPr>
          <w:rFonts w:ascii="宋体" w:eastAsia="宋体" w:hint="eastAsia"/>
          <w:spacing w:val="-3"/>
        </w:rPr>
        <w:t>司（盖</w:t>
      </w:r>
      <w:r>
        <w:rPr>
          <w:rFonts w:ascii="宋体" w:eastAsia="宋体" w:hint="eastAsia"/>
        </w:rPr>
        <w:t>单</w:t>
      </w:r>
      <w:r>
        <w:rPr>
          <w:rFonts w:ascii="宋体" w:eastAsia="宋体" w:hint="eastAsia"/>
          <w:spacing w:val="-3"/>
        </w:rPr>
        <w:t>位章</w:t>
      </w:r>
      <w:r>
        <w:rPr>
          <w:rFonts w:ascii="宋体" w:eastAsia="宋体" w:hint="eastAsia"/>
        </w:rPr>
        <w:t>） </w:t>
      </w:r>
      <w:r>
        <w:rPr>
          <w:rFonts w:ascii="宋体" w:eastAsia="宋体" w:hint="eastAsia"/>
          <w:spacing w:val="-3"/>
        </w:rPr>
        <w:t>招标</w:t>
      </w:r>
      <w:r>
        <w:rPr>
          <w:rFonts w:ascii="宋体" w:eastAsia="宋体" w:hint="eastAsia"/>
        </w:rPr>
        <w:t>代</w:t>
      </w:r>
      <w:r>
        <w:rPr>
          <w:rFonts w:ascii="宋体" w:eastAsia="宋体" w:hint="eastAsia"/>
          <w:spacing w:val="-3"/>
        </w:rPr>
        <w:t>理机构</w:t>
      </w:r>
      <w:r>
        <w:rPr>
          <w:rFonts w:ascii="宋体" w:eastAsia="宋体" w:hint="eastAsia"/>
        </w:rPr>
        <w:t>：</w:t>
      </w:r>
      <w:r>
        <w:rPr>
          <w:rFonts w:ascii="宋体" w:eastAsia="宋体" w:hint="eastAsia"/>
          <w:spacing w:val="-3"/>
        </w:rPr>
        <w:t>河北</w:t>
      </w:r>
      <w:r>
        <w:rPr>
          <w:rFonts w:ascii="宋体" w:eastAsia="宋体" w:hint="eastAsia"/>
        </w:rPr>
        <w:t>顺</w:t>
      </w:r>
      <w:r>
        <w:rPr>
          <w:rFonts w:ascii="宋体" w:eastAsia="宋体" w:hint="eastAsia"/>
          <w:spacing w:val="-3"/>
        </w:rPr>
        <w:t>时工程</w:t>
      </w:r>
      <w:r>
        <w:rPr>
          <w:rFonts w:ascii="宋体" w:eastAsia="宋体" w:hint="eastAsia"/>
        </w:rPr>
        <w:t>项</w:t>
      </w:r>
      <w:r>
        <w:rPr>
          <w:rFonts w:ascii="宋体" w:eastAsia="宋体" w:hint="eastAsia"/>
          <w:spacing w:val="-3"/>
        </w:rPr>
        <w:t>目管理</w:t>
      </w:r>
      <w:r>
        <w:rPr>
          <w:rFonts w:ascii="宋体" w:eastAsia="宋体" w:hint="eastAsia"/>
        </w:rPr>
        <w:t>有</w:t>
      </w:r>
      <w:r>
        <w:rPr>
          <w:rFonts w:ascii="宋体" w:eastAsia="宋体" w:hint="eastAsia"/>
          <w:spacing w:val="-3"/>
        </w:rPr>
        <w:t>限公</w:t>
      </w:r>
      <w:r>
        <w:rPr>
          <w:rFonts w:ascii="宋体" w:eastAsia="宋体" w:hint="eastAsia"/>
        </w:rPr>
        <w:t>司</w:t>
      </w:r>
      <w:r>
        <w:rPr>
          <w:rFonts w:ascii="宋体" w:eastAsia="宋体" w:hint="eastAsia"/>
          <w:spacing w:val="-3"/>
        </w:rPr>
        <w:t>（盖</w:t>
      </w:r>
      <w:r>
        <w:rPr>
          <w:rFonts w:ascii="宋体" w:eastAsia="宋体" w:hint="eastAsia"/>
          <w:spacing w:val="-5"/>
        </w:rPr>
        <w:t>单</w:t>
      </w:r>
      <w:r>
        <w:rPr>
          <w:rFonts w:ascii="宋体" w:eastAsia="宋体" w:hint="eastAsia"/>
          <w:spacing w:val="-3"/>
        </w:rPr>
        <w:t>位章</w:t>
      </w:r>
      <w:r>
        <w:rPr>
          <w:rFonts w:ascii="宋体" w:eastAsia="宋体" w:hint="eastAsia"/>
        </w:rPr>
        <w:t>）</w:t>
      </w:r>
    </w:p>
    <w:p>
      <w:pPr>
        <w:pStyle w:val="Heading7"/>
        <w:spacing w:line="270" w:lineRule="exact"/>
        <w:ind w:left="355" w:right="900"/>
        <w:jc w:val="center"/>
        <w:rPr>
          <w:rFonts w:ascii="宋体" w:eastAsia="宋体" w:hint="eastAsia"/>
        </w:rPr>
      </w:pPr>
      <w:r>
        <w:rPr>
          <w:rFonts w:ascii="宋体" w:eastAsia="宋体" w:hint="eastAsia"/>
        </w:rPr>
        <w:t>2025 年 06 月</w:t>
      </w:r>
    </w:p>
    <w:p>
      <w:pPr>
        <w:spacing w:after="0" w:line="270" w:lineRule="exact"/>
        <w:jc w:val="center"/>
        <w:rPr>
          <w:rFonts w:ascii="宋体" w:eastAsia="宋体" w:hint="eastAsia"/>
        </w:rPr>
        <w:sectPr>
          <w:type w:val="continuous"/>
          <w:pgSz w:w="11910" w:h="16840"/>
          <w:pgMar w:top="1580" w:bottom="280" w:left="1300" w:right="500"/>
        </w:sectPr>
      </w:pPr>
    </w:p>
    <w:p>
      <w:pPr>
        <w:pStyle w:val="Heading9"/>
        <w:tabs>
          <w:tab w:pos="479" w:val="left" w:leader="none"/>
        </w:tabs>
        <w:spacing w:before="41"/>
        <w:ind w:left="0" w:right="801" w:firstLine="0"/>
        <w:jc w:val="center"/>
      </w:pPr>
      <w:r>
        <w:rPr/>
        <w:t>目</w:t>
        <w:tab/>
        <w:t>录</w:t>
      </w:r>
    </w:p>
    <w:sdt>
      <w:sdtPr>
        <w:docPartObj>
          <w:docPartGallery w:val="Table of Contents"/>
          <w:docPartUnique/>
        </w:docPartObj>
      </w:sdtPr>
      <w:sdtEndPr/>
      <w:sdtContent>
        <w:p>
          <w:pPr>
            <w:pStyle w:val="TOC1"/>
            <w:tabs>
              <w:tab w:pos="9189" w:val="right" w:leader="dot"/>
            </w:tabs>
            <w:spacing w:before="2"/>
            <w:rPr>
              <w:rFonts w:ascii="Arial" w:eastAsia="Arial"/>
            </w:rPr>
          </w:pPr>
          <w:hyperlink w:history="true" w:anchor="_bookmark0">
            <w:r>
              <w:rPr/>
              <w:t>第一章</w:t>
            </w:r>
            <w:r>
              <w:rPr>
                <w:spacing w:val="-72"/>
              </w:rPr>
              <w:t> </w:t>
            </w:r>
            <w:r>
              <w:rPr/>
              <w:t>招标</w:t>
            </w:r>
            <w:r>
              <w:rPr>
                <w:spacing w:val="2"/>
              </w:rPr>
              <w:t>公</w:t>
            </w:r>
            <w:r>
              <w:rPr/>
              <w:t>告</w:t>
            </w:r>
          </w:hyperlink>
          <w:r>
            <w:rPr/>
            <w:tab/>
          </w:r>
          <w:hyperlink w:history="true" w:anchor="_bookmark0">
            <w:r>
              <w:rPr>
                <w:rFonts w:ascii="Arial" w:eastAsia="Arial"/>
              </w:rPr>
              <w:t>1</w:t>
            </w:r>
          </w:hyperlink>
        </w:p>
        <w:p>
          <w:pPr>
            <w:pStyle w:val="TOC1"/>
            <w:tabs>
              <w:tab w:pos="9189" w:val="right" w:leader="dot"/>
            </w:tabs>
            <w:spacing w:before="161"/>
            <w:rPr>
              <w:rFonts w:ascii="Arial" w:eastAsia="Arial"/>
            </w:rPr>
          </w:pPr>
          <w:hyperlink w:history="true" w:anchor="_bookmark1">
            <w:r>
              <w:rPr/>
              <w:t>第二章</w:t>
            </w:r>
            <w:r>
              <w:rPr>
                <w:spacing w:val="6"/>
              </w:rPr>
              <w:t> </w:t>
            </w:r>
            <w:r>
              <w:rPr/>
              <w:t>投标</w:t>
            </w:r>
            <w:r>
              <w:rPr>
                <w:spacing w:val="2"/>
              </w:rPr>
              <w:t>人</w:t>
            </w:r>
            <w:r>
              <w:rPr/>
              <w:t>须知</w:t>
            </w:r>
          </w:hyperlink>
          <w:r>
            <w:rPr/>
            <w:tab/>
          </w:r>
          <w:hyperlink w:history="true" w:anchor="_bookmark1">
            <w:r>
              <w:rPr>
                <w:rFonts w:ascii="Arial" w:eastAsia="Arial"/>
              </w:rPr>
              <w:t>4</w:t>
            </w:r>
          </w:hyperlink>
        </w:p>
        <w:p>
          <w:pPr>
            <w:pStyle w:val="TOC1"/>
            <w:tabs>
              <w:tab w:pos="9191" w:val="right" w:leader="dot"/>
            </w:tabs>
            <w:spacing w:before="160"/>
            <w:rPr>
              <w:rFonts w:ascii="Arial" w:eastAsia="Arial"/>
            </w:rPr>
          </w:pPr>
          <w:hyperlink w:history="true" w:anchor="_bookmark2">
            <w:r>
              <w:rPr/>
              <w:t>第三章</w:t>
            </w:r>
            <w:r>
              <w:rPr>
                <w:spacing w:val="6"/>
              </w:rPr>
              <w:t> </w:t>
            </w:r>
            <w:r>
              <w:rPr/>
              <w:t>评标</w:t>
            </w:r>
            <w:r>
              <w:rPr>
                <w:spacing w:val="2"/>
              </w:rPr>
              <w:t>办</w:t>
            </w:r>
            <w:r>
              <w:rPr/>
              <w:t>法（综</w:t>
            </w:r>
            <w:r>
              <w:rPr>
                <w:spacing w:val="2"/>
              </w:rPr>
              <w:t>合</w:t>
            </w:r>
            <w:r>
              <w:rPr/>
              <w:t>评估法）</w:t>
            </w:r>
          </w:hyperlink>
          <w:r>
            <w:rPr/>
            <w:tab/>
          </w:r>
          <w:hyperlink w:history="true" w:anchor="_bookmark2">
            <w:r>
              <w:rPr>
                <w:rFonts w:ascii="Arial" w:eastAsia="Arial"/>
              </w:rPr>
              <w:t>3</w:t>
            </w:r>
          </w:hyperlink>
          <w:hyperlink w:history="true" w:anchor="_bookmark2">
            <w:r>
              <w:rPr>
                <w:rFonts w:ascii="Arial" w:eastAsia="Arial"/>
              </w:rPr>
              <w:t>0</w:t>
            </w:r>
          </w:hyperlink>
        </w:p>
        <w:p>
          <w:pPr>
            <w:pStyle w:val="TOC1"/>
            <w:tabs>
              <w:tab w:pos="9191" w:val="right" w:leader="dot"/>
            </w:tabs>
            <w:rPr>
              <w:rFonts w:ascii="Arial" w:eastAsia="Arial"/>
            </w:rPr>
          </w:pPr>
          <w:hyperlink w:history="true" w:anchor="_bookmark3">
            <w:r>
              <w:rPr/>
              <w:t>第四章</w:t>
            </w:r>
            <w:r>
              <w:rPr>
                <w:spacing w:val="6"/>
              </w:rPr>
              <w:t> </w:t>
            </w:r>
            <w:r>
              <w:rPr/>
              <w:t>合同</w:t>
            </w:r>
            <w:r>
              <w:rPr>
                <w:spacing w:val="2"/>
              </w:rPr>
              <w:t>条</w:t>
            </w:r>
            <w:r>
              <w:rPr/>
              <w:t>款及格式</w:t>
            </w:r>
          </w:hyperlink>
          <w:r>
            <w:rPr/>
            <w:tab/>
          </w:r>
          <w:hyperlink w:history="true" w:anchor="_bookmark3">
            <w:r>
              <w:rPr>
                <w:rFonts w:ascii="Arial" w:eastAsia="Arial"/>
              </w:rPr>
              <w:t>3</w:t>
            </w:r>
          </w:hyperlink>
          <w:hyperlink w:history="true" w:anchor="_bookmark3">
            <w:r>
              <w:rPr>
                <w:rFonts w:ascii="Arial" w:eastAsia="Arial"/>
              </w:rPr>
              <w:t>6</w:t>
            </w:r>
          </w:hyperlink>
        </w:p>
        <w:p>
          <w:pPr>
            <w:pStyle w:val="TOC1"/>
            <w:tabs>
              <w:tab w:pos="9191" w:val="right" w:leader="dot"/>
            </w:tabs>
            <w:rPr>
              <w:rFonts w:ascii="Arial" w:eastAsia="Arial"/>
            </w:rPr>
          </w:pPr>
          <w:hyperlink w:history="true" w:anchor="_bookmark4">
            <w:r>
              <w:rPr/>
              <w:t>第五章</w:t>
            </w:r>
            <w:r>
              <w:rPr>
                <w:spacing w:val="6"/>
              </w:rPr>
              <w:t> </w:t>
            </w:r>
            <w:r>
              <w:rPr/>
              <w:t>委托</w:t>
            </w:r>
            <w:r>
              <w:rPr>
                <w:spacing w:val="2"/>
              </w:rPr>
              <w:t>人</w:t>
            </w:r>
            <w:r>
              <w:rPr/>
              <w:t>要求</w:t>
            </w:r>
          </w:hyperlink>
          <w:r>
            <w:rPr/>
            <w:tab/>
          </w:r>
          <w:hyperlink w:history="true" w:anchor="_bookmark4">
            <w:r>
              <w:rPr>
                <w:rFonts w:ascii="Arial" w:eastAsia="Arial"/>
              </w:rPr>
              <w:t>4</w:t>
            </w:r>
          </w:hyperlink>
          <w:hyperlink w:history="true" w:anchor="_bookmark4">
            <w:r>
              <w:rPr>
                <w:rFonts w:ascii="Arial" w:eastAsia="Arial"/>
              </w:rPr>
              <w:t>4</w:t>
            </w:r>
          </w:hyperlink>
        </w:p>
        <w:p>
          <w:pPr>
            <w:pStyle w:val="TOC1"/>
            <w:tabs>
              <w:tab w:pos="9191" w:val="right" w:leader="dot"/>
            </w:tabs>
            <w:spacing w:before="161"/>
            <w:rPr>
              <w:rFonts w:ascii="Arial" w:eastAsia="Arial"/>
            </w:rPr>
          </w:pPr>
          <w:hyperlink w:history="true" w:anchor="_bookmark5">
            <w:r>
              <w:rPr/>
              <w:t>第六章</w:t>
            </w:r>
            <w:r>
              <w:rPr>
                <w:spacing w:val="6"/>
              </w:rPr>
              <w:t> </w:t>
            </w:r>
            <w:r>
              <w:rPr/>
              <w:t>投标</w:t>
            </w:r>
            <w:r>
              <w:rPr>
                <w:spacing w:val="2"/>
              </w:rPr>
              <w:t>文</w:t>
            </w:r>
            <w:r>
              <w:rPr/>
              <w:t>件格式</w:t>
            </w:r>
          </w:hyperlink>
          <w:r>
            <w:rPr/>
            <w:tab/>
          </w:r>
          <w:hyperlink w:history="true" w:anchor="_bookmark5">
            <w:r>
              <w:rPr>
                <w:rFonts w:ascii="Arial" w:eastAsia="Arial"/>
              </w:rPr>
              <w:t>5</w:t>
            </w:r>
          </w:hyperlink>
          <w:hyperlink w:history="true" w:anchor="_bookmark5">
            <w:r>
              <w:rPr>
                <w:rFonts w:ascii="Arial" w:eastAsia="Arial"/>
              </w:rPr>
              <w:t>2</w:t>
            </w:r>
          </w:hyperlink>
        </w:p>
      </w:sdtContent>
    </w:sdt>
    <w:p>
      <w:pPr>
        <w:spacing w:after="0"/>
        <w:rPr>
          <w:rFonts w:ascii="Arial" w:eastAsia="Arial"/>
        </w:rPr>
        <w:sectPr>
          <w:pgSz w:w="11910" w:h="16840"/>
          <w:pgMar w:top="1360" w:bottom="280" w:left="1300" w:right="500"/>
        </w:sectPr>
      </w:pPr>
    </w:p>
    <w:p>
      <w:pPr>
        <w:pStyle w:val="Heading1"/>
        <w:ind w:right="1157"/>
        <w:jc w:val="center"/>
      </w:pPr>
      <w:bookmarkStart w:name="第一章 招标公告" w:id="1"/>
      <w:bookmarkEnd w:id="1"/>
      <w:r>
        <w:rPr>
          <w:b w:val="0"/>
        </w:rPr>
      </w:r>
      <w:bookmarkStart w:name="_bookmark0" w:id="2"/>
      <w:bookmarkEnd w:id="2"/>
      <w:r>
        <w:rPr>
          <w:b w:val="0"/>
        </w:rPr>
      </w:r>
      <w:r>
        <w:rPr/>
        <w:t>第一章 招标公告</w:t>
      </w:r>
    </w:p>
    <w:p>
      <w:pPr>
        <w:pStyle w:val="Heading6"/>
        <w:spacing w:before="63"/>
        <w:ind w:left="355" w:right="1150"/>
        <w:jc w:val="center"/>
      </w:pPr>
      <w:r>
        <w:rPr/>
        <w:t>张北县6.25MW村级分布式屋顶光伏电站运维服务项目招标公告</w:t>
      </w:r>
    </w:p>
    <w:p>
      <w:pPr>
        <w:pStyle w:val="Heading3"/>
        <w:spacing w:before="197"/>
        <w:ind w:left="792"/>
      </w:pPr>
      <w:r>
        <w:rPr/>
        <w:t>1</w:t>
      </w:r>
      <w:r>
        <w:rPr>
          <w:rFonts w:ascii="Times New Roman" w:eastAsia="Times New Roman"/>
        </w:rPr>
        <w:t>.</w:t>
      </w:r>
      <w:r>
        <w:rPr/>
        <w:t>招标条件</w:t>
      </w:r>
    </w:p>
    <w:p>
      <w:pPr>
        <w:pStyle w:val="BodyText"/>
        <w:spacing w:before="229"/>
        <w:ind w:left="538"/>
      </w:pPr>
      <w:r>
        <w:rPr>
          <w:spacing w:val="10"/>
        </w:rPr>
        <w:t>本招标项目</w:t>
      </w:r>
      <w:r>
        <w:rPr>
          <w:spacing w:val="5"/>
          <w:u w:val="single"/>
        </w:rPr>
        <w:t> 张北县</w:t>
      </w:r>
      <w:r>
        <w:rPr>
          <w:spacing w:val="7"/>
          <w:u w:val="single"/>
        </w:rPr>
        <w:t>6.25MW</w:t>
      </w:r>
      <w:r>
        <w:rPr>
          <w:spacing w:val="-82"/>
        </w:rPr>
        <w:t> </w:t>
      </w:r>
      <w:r>
        <w:rPr>
          <w:spacing w:val="10"/>
          <w:u w:val="single"/>
        </w:rPr>
        <w:t>村级分布式屋顶光伏电站运维服务项目</w:t>
      </w:r>
      <w:r>
        <w:rPr>
          <w:spacing w:val="7"/>
        </w:rPr>
        <w:t> 已由</w:t>
      </w:r>
      <w:r>
        <w:rPr>
          <w:spacing w:val="10"/>
          <w:u w:val="single"/>
        </w:rPr>
        <w:t> 张发改审字【</w:t>
      </w:r>
      <w:r>
        <w:rPr>
          <w:spacing w:val="6"/>
          <w:u w:val="single"/>
        </w:rPr>
        <w:t>2022</w:t>
      </w:r>
      <w:r>
        <w:rPr>
          <w:spacing w:val="-82"/>
        </w:rPr>
        <w:t> </w:t>
      </w:r>
      <w:r>
        <w:rPr>
          <w:u w:val="single"/>
        </w:rPr>
        <w:t>】</w:t>
      </w:r>
    </w:p>
    <w:p>
      <w:pPr>
        <w:pStyle w:val="BodyText"/>
        <w:spacing w:line="355" w:lineRule="auto" w:before="122"/>
        <w:ind w:left="118" w:right="925"/>
        <w:jc w:val="both"/>
      </w:pPr>
      <w:r>
        <w:rPr>
          <w:u w:val="single"/>
        </w:rPr>
        <w:t>124 号、张北行审项【2022 】17 号、张北行审【2023 】88 号</w:t>
      </w:r>
      <w:r>
        <w:rPr/>
        <w:t>批准建设，项目业主为</w:t>
      </w:r>
      <w:r>
        <w:rPr>
          <w:u w:val="single"/>
        </w:rPr>
        <w:t> 张北县大容新能源开发有限公司</w:t>
      </w:r>
      <w:r>
        <w:rPr/>
        <w:t> ，建设资金来自</w:t>
      </w:r>
      <w:r>
        <w:rPr>
          <w:u w:val="single"/>
        </w:rPr>
        <w:t>企业自有资金</w:t>
      </w:r>
      <w:r>
        <w:rPr/>
        <w:t>，出资比例为</w:t>
      </w:r>
      <w:r>
        <w:rPr>
          <w:u w:val="single"/>
        </w:rPr>
        <w:t> </w:t>
      </w:r>
      <w:r>
        <w:rPr>
          <w:rFonts w:ascii="Times New Roman" w:eastAsia="Times New Roman"/>
          <w:u w:val="single"/>
        </w:rPr>
        <w:t>100%</w:t>
      </w:r>
      <w:r>
        <w:rPr>
          <w:rFonts w:ascii="Times New Roman" w:eastAsia="Times New Roman"/>
        </w:rPr>
        <w:t> </w:t>
      </w:r>
      <w:r>
        <w:rPr/>
        <w:t>，招标人为</w:t>
      </w:r>
      <w:r>
        <w:rPr>
          <w:u w:val="single"/>
        </w:rPr>
        <w:t> 张北县大容新能源开发有限公司</w:t>
      </w:r>
      <w:r>
        <w:rPr/>
        <w:t>。项目已具备招标条件，现对该项目进行公开招标。</w:t>
      </w:r>
    </w:p>
    <w:p>
      <w:pPr>
        <w:pStyle w:val="BodyText"/>
        <w:spacing w:before="8"/>
        <w:rPr>
          <w:sz w:val="15"/>
        </w:rPr>
      </w:pPr>
    </w:p>
    <w:p>
      <w:pPr>
        <w:pStyle w:val="Heading3"/>
        <w:ind w:left="766"/>
      </w:pPr>
      <w:r>
        <w:rPr/>
        <w:t>2</w:t>
      </w:r>
      <w:r>
        <w:rPr>
          <w:rFonts w:ascii="Times New Roman" w:eastAsia="Times New Roman"/>
        </w:rPr>
        <w:t>.</w:t>
      </w:r>
      <w:r>
        <w:rPr/>
        <w:t>项目情况</w:t>
      </w:r>
    </w:p>
    <w:p>
      <w:pPr>
        <w:pStyle w:val="BodyText"/>
        <w:spacing w:before="207"/>
        <w:ind w:left="540"/>
      </w:pPr>
      <w:r>
        <w:rPr>
          <w:rFonts w:ascii="Calibri" w:eastAsia="Calibri"/>
        </w:rPr>
        <w:t>2.1 </w:t>
      </w:r>
      <w:r>
        <w:rPr/>
        <w:t>招标编号：HBSS-2025-003</w:t>
      </w:r>
    </w:p>
    <w:p>
      <w:pPr>
        <w:pStyle w:val="BodyText"/>
        <w:spacing w:before="12"/>
        <w:rPr>
          <w:sz w:val="21"/>
        </w:rPr>
      </w:pPr>
    </w:p>
    <w:p>
      <w:pPr>
        <w:pStyle w:val="ListParagraph"/>
        <w:numPr>
          <w:ilvl w:val="1"/>
          <w:numId w:val="1"/>
        </w:numPr>
        <w:tabs>
          <w:tab w:pos="887" w:val="left" w:leader="none"/>
        </w:tabs>
        <w:spacing w:line="240" w:lineRule="auto" w:before="0" w:after="0"/>
        <w:ind w:left="564" w:right="0" w:hanging="24"/>
        <w:jc w:val="left"/>
        <w:rPr>
          <w:rFonts w:ascii="Calibri" w:eastAsia="Calibri"/>
          <w:sz w:val="20"/>
        </w:rPr>
      </w:pPr>
      <w:r>
        <w:rPr>
          <w:spacing w:val="5"/>
          <w:sz w:val="20"/>
        </w:rPr>
        <w:t>项目名称：张北县</w:t>
      </w:r>
      <w:r>
        <w:rPr>
          <w:spacing w:val="6"/>
          <w:sz w:val="20"/>
        </w:rPr>
        <w:t>6.25MW</w:t>
      </w:r>
      <w:r>
        <w:rPr>
          <w:spacing w:val="5"/>
          <w:sz w:val="20"/>
        </w:rPr>
        <w:t>村级分布式屋顶光伏电站运维服务项目</w:t>
      </w:r>
    </w:p>
    <w:p>
      <w:pPr>
        <w:pStyle w:val="BodyText"/>
        <w:spacing w:before="10"/>
        <w:rPr>
          <w:sz w:val="21"/>
        </w:rPr>
      </w:pPr>
    </w:p>
    <w:p>
      <w:pPr>
        <w:pStyle w:val="ListParagraph"/>
        <w:numPr>
          <w:ilvl w:val="1"/>
          <w:numId w:val="1"/>
        </w:numPr>
        <w:tabs>
          <w:tab w:pos="884" w:val="left" w:leader="none"/>
        </w:tabs>
        <w:spacing w:line="240" w:lineRule="auto" w:before="0" w:after="0"/>
        <w:ind w:left="884" w:right="0" w:hanging="344"/>
        <w:jc w:val="left"/>
        <w:rPr>
          <w:rFonts w:ascii="Calibri" w:eastAsia="Calibri"/>
          <w:sz w:val="20"/>
        </w:rPr>
      </w:pPr>
      <w:r>
        <w:rPr>
          <w:spacing w:val="5"/>
          <w:sz w:val="20"/>
        </w:rPr>
        <w:t>项目概况：张北县村级分布式屋顶光伏电站，建设规模为</w:t>
      </w:r>
      <w:r>
        <w:rPr>
          <w:spacing w:val="6"/>
          <w:sz w:val="20"/>
        </w:rPr>
        <w:t>6.25MW</w:t>
      </w:r>
      <w:r>
        <w:rPr>
          <w:spacing w:val="5"/>
          <w:sz w:val="20"/>
        </w:rPr>
        <w:t>,位于台路沟乡、小二台镇</w:t>
      </w:r>
    </w:p>
    <w:p>
      <w:pPr>
        <w:pStyle w:val="BodyText"/>
        <w:spacing w:line="343" w:lineRule="auto" w:before="113"/>
        <w:ind w:left="115" w:right="1053"/>
      </w:pPr>
      <w:r>
        <w:rPr/>
        <w:t>、郝家营乡、白庙滩乡、张北镇、馒头营乡、大囫囵镇、战海乡、大河镇、大西湾乡、二台镇、公会镇、二泉井乡共计13个乡镇53个行政村。</w:t>
      </w:r>
    </w:p>
    <w:p>
      <w:pPr>
        <w:pStyle w:val="BodyText"/>
        <w:spacing w:before="3"/>
        <w:rPr>
          <w:sz w:val="22"/>
        </w:rPr>
      </w:pPr>
    </w:p>
    <w:p>
      <w:pPr>
        <w:pStyle w:val="ListParagraph"/>
        <w:numPr>
          <w:ilvl w:val="1"/>
          <w:numId w:val="1"/>
        </w:numPr>
        <w:tabs>
          <w:tab w:pos="880" w:val="left" w:leader="none"/>
        </w:tabs>
        <w:spacing w:line="240" w:lineRule="auto" w:before="0" w:after="0"/>
        <w:ind w:left="879" w:right="0" w:hanging="339"/>
        <w:jc w:val="left"/>
        <w:rPr>
          <w:rFonts w:ascii="Calibri" w:eastAsia="Calibri"/>
          <w:sz w:val="20"/>
        </w:rPr>
      </w:pPr>
      <w:r>
        <w:rPr>
          <w:spacing w:val="6"/>
          <w:sz w:val="20"/>
        </w:rPr>
        <w:t>服务期限：自签订合同之日起共计三年。</w:t>
      </w:r>
    </w:p>
    <w:p>
      <w:pPr>
        <w:pStyle w:val="ListParagraph"/>
        <w:numPr>
          <w:ilvl w:val="1"/>
          <w:numId w:val="1"/>
        </w:numPr>
        <w:tabs>
          <w:tab w:pos="906" w:val="left" w:leader="none"/>
        </w:tabs>
        <w:spacing w:line="350" w:lineRule="auto" w:before="147" w:after="0"/>
        <w:ind w:left="564" w:right="1057" w:firstLine="0"/>
        <w:jc w:val="left"/>
        <w:rPr>
          <w:rFonts w:ascii="Calibri" w:eastAsia="Calibri"/>
          <w:sz w:val="20"/>
        </w:rPr>
      </w:pPr>
      <w:r>
        <w:rPr>
          <w:spacing w:val="5"/>
          <w:sz w:val="20"/>
        </w:rPr>
        <w:t>运维内容：屋顶光伏电站运维管理包括：日常生产期间的生产管理、安全管理、运行及维</w:t>
      </w:r>
      <w:r>
        <w:rPr>
          <w:spacing w:val="2"/>
          <w:sz w:val="20"/>
        </w:rPr>
        <w:t>护工</w:t>
      </w:r>
    </w:p>
    <w:p>
      <w:pPr>
        <w:pStyle w:val="BodyText"/>
        <w:spacing w:line="348" w:lineRule="auto" w:before="42"/>
        <w:ind w:left="115" w:right="1009"/>
        <w:jc w:val="both"/>
      </w:pPr>
      <w:r>
        <w:rPr/>
        <w:t>作、事故处理和应急抢险工作、技术资料和生产档案建立、文明生产等方面的工作具体见“第五章委托人要求 ”</w:t>
      </w:r>
    </w:p>
    <w:p>
      <w:pPr>
        <w:pStyle w:val="BodyText"/>
        <w:spacing w:before="2"/>
        <w:rPr>
          <w:sz w:val="22"/>
        </w:rPr>
      </w:pPr>
    </w:p>
    <w:p>
      <w:pPr>
        <w:pStyle w:val="ListParagraph"/>
        <w:numPr>
          <w:ilvl w:val="1"/>
          <w:numId w:val="1"/>
        </w:numPr>
        <w:tabs>
          <w:tab w:pos="973" w:val="left" w:leader="none"/>
        </w:tabs>
        <w:spacing w:line="240" w:lineRule="auto" w:before="0" w:after="0"/>
        <w:ind w:left="972" w:right="0" w:hanging="432"/>
        <w:jc w:val="left"/>
        <w:rPr>
          <w:sz w:val="20"/>
        </w:rPr>
      </w:pPr>
      <w:r>
        <w:rPr>
          <w:spacing w:val="5"/>
          <w:sz w:val="20"/>
        </w:rPr>
        <w:t>资格审查方式：资格后审。</w:t>
      </w:r>
    </w:p>
    <w:p>
      <w:pPr>
        <w:pStyle w:val="Heading3"/>
        <w:spacing w:before="142"/>
        <w:ind w:left="768"/>
      </w:pPr>
      <w:r>
        <w:rPr/>
        <w:t>3、投标人资格要求</w:t>
      </w:r>
    </w:p>
    <w:p>
      <w:pPr>
        <w:pStyle w:val="ListParagraph"/>
        <w:numPr>
          <w:ilvl w:val="1"/>
          <w:numId w:val="2"/>
        </w:numPr>
        <w:tabs>
          <w:tab w:pos="961" w:val="left" w:leader="none"/>
        </w:tabs>
        <w:spacing w:line="240" w:lineRule="auto" w:before="212" w:after="0"/>
        <w:ind w:left="960" w:right="0" w:hanging="422"/>
        <w:jc w:val="left"/>
        <w:rPr>
          <w:rFonts w:ascii="黑体" w:eastAsia="黑体" w:hint="eastAsia"/>
          <w:sz w:val="20"/>
        </w:rPr>
      </w:pPr>
      <w:r>
        <w:rPr>
          <w:rFonts w:ascii="黑体" w:eastAsia="黑体" w:hint="eastAsia"/>
          <w:spacing w:val="3"/>
          <w:sz w:val="20"/>
        </w:rPr>
        <w:t>投标人资格要求；</w:t>
      </w:r>
    </w:p>
    <w:p>
      <w:pPr>
        <w:pStyle w:val="ListParagraph"/>
        <w:numPr>
          <w:ilvl w:val="2"/>
          <w:numId w:val="2"/>
        </w:numPr>
        <w:tabs>
          <w:tab w:pos="1216" w:val="left" w:leader="none"/>
        </w:tabs>
        <w:spacing w:line="240" w:lineRule="auto" w:before="167" w:after="0"/>
        <w:ind w:left="116" w:right="0" w:firstLine="432"/>
        <w:jc w:val="left"/>
        <w:rPr>
          <w:rFonts w:ascii="黑体" w:eastAsia="黑体" w:hint="eastAsia"/>
          <w:sz w:val="20"/>
        </w:rPr>
      </w:pPr>
      <w:r>
        <w:rPr>
          <w:rFonts w:ascii="黑体" w:eastAsia="黑体" w:hint="eastAsia"/>
          <w:spacing w:val="6"/>
          <w:sz w:val="20"/>
        </w:rPr>
        <w:t>资质要求：投标人应具有独立法人资格，具有有效的营业执照；</w:t>
      </w:r>
    </w:p>
    <w:p>
      <w:pPr>
        <w:pStyle w:val="BodyText"/>
        <w:rPr>
          <w:rFonts w:ascii="黑体"/>
        </w:rPr>
      </w:pPr>
    </w:p>
    <w:p>
      <w:pPr>
        <w:pStyle w:val="ListParagraph"/>
        <w:numPr>
          <w:ilvl w:val="2"/>
          <w:numId w:val="2"/>
        </w:numPr>
        <w:tabs>
          <w:tab w:pos="1208" w:val="left" w:leader="none"/>
        </w:tabs>
        <w:spacing w:line="364" w:lineRule="auto" w:before="171" w:after="0"/>
        <w:ind w:left="116" w:right="1066" w:firstLine="420"/>
        <w:jc w:val="left"/>
        <w:rPr>
          <w:rFonts w:ascii="黑体" w:eastAsia="黑体" w:hint="eastAsia"/>
          <w:sz w:val="20"/>
        </w:rPr>
      </w:pPr>
      <w:r>
        <w:rPr>
          <w:rFonts w:ascii="黑体" w:eastAsia="黑体" w:hint="eastAsia"/>
          <w:spacing w:val="10"/>
          <w:sz w:val="20"/>
        </w:rPr>
        <w:t>投标人须具有承装</w:t>
      </w:r>
      <w:r>
        <w:rPr>
          <w:rFonts w:ascii="黑体" w:eastAsia="黑体" w:hint="eastAsia"/>
          <w:spacing w:val="12"/>
          <w:sz w:val="20"/>
        </w:rPr>
        <w:t>（</w:t>
      </w:r>
      <w:r>
        <w:rPr>
          <w:rFonts w:ascii="黑体" w:eastAsia="黑体" w:hint="eastAsia"/>
          <w:spacing w:val="10"/>
          <w:sz w:val="20"/>
        </w:rPr>
        <w:t>修、试）电力设施许可证书（承修类和承试类四级及以上）</w:t>
      </w:r>
      <w:r>
        <w:rPr>
          <w:rFonts w:ascii="黑体" w:eastAsia="黑体" w:hint="eastAsia"/>
          <w:spacing w:val="5"/>
          <w:sz w:val="20"/>
        </w:rPr>
        <w:t>，投</w:t>
      </w:r>
      <w:r>
        <w:rPr>
          <w:rFonts w:ascii="黑体" w:eastAsia="黑体" w:hint="eastAsia"/>
          <w:spacing w:val="10"/>
          <w:sz w:val="20"/>
        </w:rPr>
        <w:t>标人须具备有效的安全生产许可证。</w:t>
      </w:r>
    </w:p>
    <w:p>
      <w:pPr>
        <w:pStyle w:val="BodyText"/>
        <w:spacing w:before="8"/>
        <w:rPr>
          <w:rFonts w:ascii="黑体"/>
          <w:sz w:val="24"/>
        </w:rPr>
      </w:pPr>
    </w:p>
    <w:p>
      <w:pPr>
        <w:pStyle w:val="ListParagraph"/>
        <w:numPr>
          <w:ilvl w:val="2"/>
          <w:numId w:val="2"/>
        </w:numPr>
        <w:tabs>
          <w:tab w:pos="1208" w:val="left" w:leader="none"/>
        </w:tabs>
        <w:spacing w:line="367" w:lineRule="auto" w:before="0" w:after="0"/>
        <w:ind w:left="116" w:right="1065" w:firstLine="420"/>
        <w:jc w:val="left"/>
        <w:rPr>
          <w:rFonts w:ascii="黑体" w:eastAsia="黑体" w:hint="eastAsia"/>
          <w:sz w:val="20"/>
        </w:rPr>
      </w:pPr>
      <w:r>
        <w:rPr>
          <w:rFonts w:ascii="黑体" w:eastAsia="黑体" w:hint="eastAsia"/>
          <w:spacing w:val="10"/>
          <w:sz w:val="20"/>
        </w:rPr>
        <w:t>财务要求：投标人须具备履行合同的良好财务能力。（</w:t>
      </w:r>
      <w:r>
        <w:rPr>
          <w:rFonts w:ascii="黑体" w:eastAsia="黑体" w:hint="eastAsia"/>
          <w:spacing w:val="10"/>
          <w:sz w:val="20"/>
        </w:rPr>
        <w:t>提供承诺函，并对其真实性承</w:t>
      </w:r>
      <w:r>
        <w:rPr>
          <w:rFonts w:ascii="黑体" w:eastAsia="黑体" w:hint="eastAsia"/>
          <w:spacing w:val="10"/>
          <w:sz w:val="20"/>
        </w:rPr>
        <w:t>担法律责任</w:t>
      </w:r>
      <w:r>
        <w:rPr>
          <w:rFonts w:ascii="黑体" w:eastAsia="黑体" w:hint="eastAsia"/>
          <w:sz w:val="20"/>
        </w:rPr>
        <w:t>）</w:t>
      </w:r>
    </w:p>
    <w:p>
      <w:pPr>
        <w:pStyle w:val="ListParagraph"/>
        <w:numPr>
          <w:ilvl w:val="2"/>
          <w:numId w:val="2"/>
        </w:numPr>
        <w:tabs>
          <w:tab w:pos="1223" w:val="left" w:leader="none"/>
        </w:tabs>
        <w:spacing w:line="367" w:lineRule="auto" w:before="147" w:after="0"/>
        <w:ind w:left="120" w:right="999" w:firstLine="411"/>
        <w:jc w:val="left"/>
        <w:rPr>
          <w:rFonts w:ascii="黑体" w:hAnsi="黑体" w:eastAsia="黑体" w:hint="eastAsia"/>
          <w:sz w:val="19"/>
        </w:rPr>
      </w:pPr>
      <w:r>
        <w:rPr>
          <w:rFonts w:ascii="黑体" w:hAnsi="黑体" w:eastAsia="黑体" w:hint="eastAsia"/>
          <w:spacing w:val="12"/>
          <w:sz w:val="20"/>
        </w:rPr>
        <w:t>信誉要求：</w:t>
      </w:r>
      <w:r>
        <w:rPr>
          <w:rFonts w:ascii="黑体" w:hAnsi="黑体" w:eastAsia="黑体" w:hint="eastAsia"/>
          <w:spacing w:val="-4"/>
          <w:sz w:val="19"/>
        </w:rPr>
        <w:t>投标人在“ 中国执行信息公开网 ” 系统中未被列入失信被执行人名单；投标</w:t>
      </w:r>
      <w:r>
        <w:rPr>
          <w:rFonts w:ascii="黑体" w:hAnsi="黑体" w:eastAsia="黑体" w:hint="eastAsia"/>
          <w:spacing w:val="6"/>
          <w:sz w:val="19"/>
        </w:rPr>
        <w:t>人在“信用中国 ” </w:t>
      </w:r>
      <w:r>
        <w:rPr>
          <w:rFonts w:ascii="黑体" w:hAnsi="黑体" w:eastAsia="黑体" w:hint="eastAsia"/>
          <w:sz w:val="19"/>
        </w:rPr>
        <w:t>（</w:t>
      </w:r>
      <w:r>
        <w:rPr>
          <w:rFonts w:ascii="黑体" w:hAnsi="黑体" w:eastAsia="黑体" w:hint="eastAsia"/>
          <w:spacing w:val="-74"/>
          <w:sz w:val="19"/>
        </w:rPr>
        <w:t> </w:t>
      </w:r>
      <w:r>
        <w:rPr>
          <w:rFonts w:ascii="黑体" w:hAnsi="黑体" w:eastAsia="黑体" w:hint="eastAsia"/>
          <w:sz w:val="19"/>
        </w:rPr>
        <w:t>http</w:t>
      </w:r>
      <w:r>
        <w:rPr>
          <w:rFonts w:ascii="黑体" w:hAnsi="黑体" w:eastAsia="黑体" w:hint="eastAsia"/>
          <w:spacing w:val="-43"/>
          <w:sz w:val="19"/>
        </w:rPr>
        <w:t> : </w:t>
      </w:r>
      <w:r>
        <w:rPr>
          <w:rFonts w:ascii="黑体" w:hAnsi="黑体" w:eastAsia="黑体" w:hint="eastAsia"/>
          <w:sz w:val="19"/>
        </w:rPr>
        <w:t>/</w:t>
      </w:r>
      <w:r>
        <w:rPr>
          <w:rFonts w:ascii="黑体" w:hAnsi="黑体" w:eastAsia="黑体" w:hint="eastAsia"/>
          <w:spacing w:val="-75"/>
          <w:sz w:val="19"/>
        </w:rPr>
        <w:t> </w:t>
      </w:r>
      <w:r>
        <w:rPr>
          <w:rFonts w:ascii="黑体" w:hAnsi="黑体" w:eastAsia="黑体" w:hint="eastAsia"/>
          <w:sz w:val="19"/>
        </w:rPr>
        <w:t>/</w:t>
      </w:r>
      <w:r>
        <w:rPr>
          <w:rFonts w:ascii="黑体" w:hAnsi="黑体" w:eastAsia="黑体" w:hint="eastAsia"/>
          <w:spacing w:val="-70"/>
          <w:sz w:val="19"/>
        </w:rPr>
        <w:t> </w:t>
      </w:r>
      <w:hyperlink r:id="rId6">
        <w:r>
          <w:rPr>
            <w:rFonts w:ascii="黑体" w:hAnsi="黑体" w:eastAsia="黑体" w:hint="eastAsia"/>
            <w:sz w:val="19"/>
          </w:rPr>
          <w:t>www</w:t>
        </w:r>
        <w:r>
          <w:rPr>
            <w:rFonts w:ascii="黑体" w:hAnsi="黑体" w:eastAsia="黑体" w:hint="eastAsia"/>
            <w:spacing w:val="-38"/>
            <w:sz w:val="19"/>
          </w:rPr>
          <w:t>. </w:t>
        </w:r>
      </w:hyperlink>
      <w:r>
        <w:rPr>
          <w:rFonts w:ascii="黑体" w:hAnsi="黑体" w:eastAsia="黑体" w:hint="eastAsia"/>
          <w:sz w:val="19"/>
        </w:rPr>
        <w:t>creditchina</w:t>
      </w:r>
      <w:r>
        <w:rPr>
          <w:rFonts w:ascii="黑体" w:hAnsi="黑体" w:eastAsia="黑体" w:hint="eastAsia"/>
          <w:spacing w:val="-37"/>
          <w:sz w:val="19"/>
        </w:rPr>
        <w:t>. </w:t>
      </w:r>
      <w:r>
        <w:rPr>
          <w:rFonts w:ascii="黑体" w:hAnsi="黑体" w:eastAsia="黑体" w:hint="eastAsia"/>
          <w:sz w:val="19"/>
        </w:rPr>
        <w:t>gov</w:t>
      </w:r>
      <w:r>
        <w:rPr>
          <w:rFonts w:ascii="黑体" w:hAnsi="黑体" w:eastAsia="黑体" w:hint="eastAsia"/>
          <w:spacing w:val="-37"/>
          <w:sz w:val="19"/>
        </w:rPr>
        <w:t>. </w:t>
      </w:r>
      <w:r>
        <w:rPr>
          <w:rFonts w:ascii="黑体" w:hAnsi="黑体" w:eastAsia="黑体" w:hint="eastAsia"/>
          <w:sz w:val="19"/>
        </w:rPr>
        <w:t>cn/</w:t>
      </w:r>
      <w:r>
        <w:rPr>
          <w:rFonts w:ascii="黑体" w:hAnsi="黑体" w:eastAsia="黑体" w:hint="eastAsia"/>
          <w:spacing w:val="-75"/>
          <w:sz w:val="19"/>
        </w:rPr>
        <w:t> </w:t>
      </w:r>
      <w:r>
        <w:rPr>
          <w:rFonts w:ascii="黑体" w:hAnsi="黑体" w:eastAsia="黑体" w:hint="eastAsia"/>
          <w:sz w:val="19"/>
        </w:rPr>
        <w:t>）</w:t>
      </w:r>
      <w:r>
        <w:rPr>
          <w:rFonts w:ascii="黑体" w:hAnsi="黑体" w:eastAsia="黑体" w:hint="eastAsia"/>
          <w:spacing w:val="2"/>
          <w:sz w:val="19"/>
        </w:rPr>
        <w:t> 系统中查询重大税收违法失信名单； 国</w:t>
      </w:r>
    </w:p>
    <w:p>
      <w:pPr>
        <w:spacing w:after="0" w:line="367" w:lineRule="auto"/>
        <w:jc w:val="left"/>
        <w:rPr>
          <w:rFonts w:ascii="黑体" w:hAnsi="黑体" w:eastAsia="黑体" w:hint="eastAsia"/>
          <w:sz w:val="19"/>
        </w:rPr>
        <w:sectPr>
          <w:footerReference w:type="default" r:id="rId5"/>
          <w:pgSz w:w="11910" w:h="16840"/>
          <w:pgMar w:footer="690" w:header="0" w:top="1460" w:bottom="880" w:left="1300" w:right="500"/>
          <w:pgNumType w:start="1"/>
        </w:sectPr>
      </w:pPr>
    </w:p>
    <w:p>
      <w:pPr>
        <w:spacing w:line="367" w:lineRule="auto" w:before="61"/>
        <w:ind w:left="120" w:right="1119" w:firstLine="0"/>
        <w:jc w:val="left"/>
        <w:rPr>
          <w:rFonts w:ascii="黑体" w:eastAsia="黑体" w:hint="eastAsia"/>
          <w:sz w:val="19"/>
        </w:rPr>
      </w:pPr>
      <w:r>
        <w:rPr>
          <w:rFonts w:ascii="黑体" w:eastAsia="黑体" w:hint="eastAsia"/>
          <w:spacing w:val="15"/>
          <w:sz w:val="19"/>
        </w:rPr>
        <w:t>家企业信用信息公示系统</w:t>
      </w:r>
      <w:r>
        <w:rPr>
          <w:rFonts w:ascii="黑体" w:eastAsia="黑体" w:hint="eastAsia"/>
          <w:sz w:val="19"/>
        </w:rPr>
        <w:t>（</w:t>
      </w:r>
      <w:r>
        <w:rPr>
          <w:rFonts w:ascii="黑体" w:eastAsia="黑体" w:hint="eastAsia"/>
          <w:spacing w:val="-78"/>
          <w:sz w:val="19"/>
        </w:rPr>
        <w:t> </w:t>
      </w:r>
      <w:r>
        <w:rPr>
          <w:rFonts w:ascii="黑体" w:eastAsia="黑体" w:hint="eastAsia"/>
          <w:spacing w:val="5"/>
          <w:sz w:val="19"/>
        </w:rPr>
        <w:t>ht</w:t>
      </w:r>
      <w:r>
        <w:rPr>
          <w:rFonts w:ascii="黑体" w:eastAsia="黑体" w:hint="eastAsia"/>
          <w:spacing w:val="-77"/>
          <w:sz w:val="19"/>
        </w:rPr>
        <w:t> </w:t>
      </w:r>
      <w:r>
        <w:rPr>
          <w:rFonts w:ascii="黑体" w:eastAsia="黑体" w:hint="eastAsia"/>
          <w:spacing w:val="6"/>
          <w:sz w:val="19"/>
        </w:rPr>
        <w:t>tp</w:t>
      </w:r>
      <w:r>
        <w:rPr>
          <w:rFonts w:ascii="黑体" w:eastAsia="黑体" w:hint="eastAsia"/>
          <w:spacing w:val="-32"/>
          <w:sz w:val="19"/>
        </w:rPr>
        <w:t> ：</w:t>
      </w:r>
      <w:r>
        <w:rPr>
          <w:rFonts w:ascii="黑体" w:eastAsia="黑体" w:hint="eastAsia"/>
          <w:spacing w:val="8"/>
          <w:sz w:val="19"/>
        </w:rPr>
        <w:t>//</w:t>
      </w:r>
      <w:r>
        <w:rPr>
          <w:rFonts w:ascii="黑体" w:eastAsia="黑体" w:hint="eastAsia"/>
          <w:spacing w:val="-77"/>
          <w:sz w:val="19"/>
        </w:rPr>
        <w:t> </w:t>
      </w:r>
      <w:hyperlink r:id="rId7">
        <w:r>
          <w:rPr>
            <w:rFonts w:ascii="黑体" w:eastAsia="黑体" w:hint="eastAsia"/>
            <w:spacing w:val="6"/>
            <w:sz w:val="19"/>
          </w:rPr>
          <w:t>ww</w:t>
        </w:r>
        <w:r>
          <w:rPr>
            <w:rFonts w:ascii="黑体" w:eastAsia="黑体" w:hint="eastAsia"/>
            <w:spacing w:val="-77"/>
            <w:sz w:val="19"/>
          </w:rPr>
          <w:t> </w:t>
        </w:r>
        <w:r>
          <w:rPr>
            <w:rFonts w:ascii="黑体" w:eastAsia="黑体" w:hint="eastAsia"/>
            <w:sz w:val="19"/>
          </w:rPr>
          <w:t>w</w:t>
        </w:r>
        <w:r>
          <w:rPr>
            <w:rFonts w:ascii="黑体" w:eastAsia="黑体" w:hint="eastAsia"/>
            <w:spacing w:val="-35"/>
            <w:sz w:val="19"/>
          </w:rPr>
          <w:t> .</w:t>
        </w:r>
        <w:r>
          <w:rPr>
            <w:rFonts w:ascii="黑体" w:eastAsia="黑体" w:hint="eastAsia"/>
            <w:spacing w:val="6"/>
            <w:sz w:val="19"/>
          </w:rPr>
          <w:t>g</w:t>
        </w:r>
        <w:r>
          <w:rPr>
            <w:rFonts w:ascii="黑体" w:eastAsia="黑体" w:hint="eastAsia"/>
            <w:spacing w:val="-77"/>
            <w:sz w:val="19"/>
          </w:rPr>
          <w:t> </w:t>
        </w:r>
        <w:r>
          <w:rPr>
            <w:rFonts w:ascii="黑体" w:eastAsia="黑体" w:hint="eastAsia"/>
            <w:sz w:val="19"/>
          </w:rPr>
          <w:t>s</w:t>
        </w:r>
        <w:r>
          <w:rPr>
            <w:rFonts w:ascii="黑体" w:eastAsia="黑体" w:hint="eastAsia"/>
            <w:spacing w:val="-77"/>
            <w:sz w:val="19"/>
          </w:rPr>
          <w:t> </w:t>
        </w:r>
        <w:r>
          <w:rPr>
            <w:rFonts w:ascii="黑体" w:eastAsia="黑体" w:hint="eastAsia"/>
            <w:spacing w:val="6"/>
            <w:sz w:val="19"/>
          </w:rPr>
          <w:t>xt</w:t>
        </w:r>
        <w:r>
          <w:rPr>
            <w:rFonts w:ascii="黑体" w:eastAsia="黑体" w:hint="eastAsia"/>
            <w:spacing w:val="-52"/>
            <w:sz w:val="19"/>
          </w:rPr>
          <w:t> . </w:t>
        </w:r>
        <w:r>
          <w:rPr>
            <w:rFonts w:ascii="黑体" w:eastAsia="黑体" w:hint="eastAsia"/>
            <w:spacing w:val="6"/>
            <w:sz w:val="19"/>
          </w:rPr>
          <w:t>go</w:t>
        </w:r>
        <w:r>
          <w:rPr>
            <w:rFonts w:ascii="黑体" w:eastAsia="黑体" w:hint="eastAsia"/>
            <w:spacing w:val="-77"/>
            <w:sz w:val="19"/>
          </w:rPr>
          <w:t> </w:t>
        </w:r>
        <w:r>
          <w:rPr>
            <w:rFonts w:ascii="黑体" w:eastAsia="黑体" w:hint="eastAsia"/>
            <w:sz w:val="19"/>
          </w:rPr>
          <w:t>v</w:t>
        </w:r>
        <w:r>
          <w:rPr>
            <w:rFonts w:ascii="黑体" w:eastAsia="黑体" w:hint="eastAsia"/>
            <w:spacing w:val="-35"/>
            <w:sz w:val="19"/>
          </w:rPr>
          <w:t> .</w:t>
        </w:r>
        <w:r>
          <w:rPr>
            <w:rFonts w:ascii="黑体" w:eastAsia="黑体" w:hint="eastAsia"/>
            <w:spacing w:val="6"/>
            <w:sz w:val="19"/>
          </w:rPr>
          <w:t>c</w:t>
        </w:r>
        <w:r>
          <w:rPr>
            <w:rFonts w:ascii="黑体" w:eastAsia="黑体" w:hint="eastAsia"/>
            <w:spacing w:val="-77"/>
            <w:sz w:val="19"/>
          </w:rPr>
          <w:t> </w:t>
        </w:r>
        <w:r>
          <w:rPr>
            <w:rFonts w:ascii="黑体" w:eastAsia="黑体" w:hint="eastAsia"/>
            <w:sz w:val="19"/>
          </w:rPr>
          <w:t>n</w:t>
        </w:r>
        <w:r>
          <w:rPr>
            <w:rFonts w:ascii="黑体" w:eastAsia="黑体" w:hint="eastAsia"/>
            <w:spacing w:val="-77"/>
            <w:sz w:val="19"/>
          </w:rPr>
          <w:t> </w:t>
        </w:r>
        <w:r>
          <w:rPr>
            <w:rFonts w:ascii="黑体" w:eastAsia="黑体" w:hint="eastAsia"/>
            <w:sz w:val="19"/>
          </w:rPr>
          <w:t>/</w:t>
        </w:r>
        <w:r>
          <w:rPr>
            <w:rFonts w:ascii="黑体" w:eastAsia="黑体" w:hint="eastAsia"/>
            <w:spacing w:val="-73"/>
            <w:sz w:val="19"/>
          </w:rPr>
          <w:t> </w:t>
        </w:r>
      </w:hyperlink>
      <w:r>
        <w:rPr>
          <w:rFonts w:ascii="黑体" w:eastAsia="黑体" w:hint="eastAsia"/>
          <w:sz w:val="19"/>
        </w:rPr>
        <w:t>）</w:t>
      </w:r>
      <w:r>
        <w:rPr>
          <w:rFonts w:ascii="黑体" w:eastAsia="黑体" w:hint="eastAsia"/>
          <w:spacing w:val="3"/>
          <w:sz w:val="19"/>
        </w:rPr>
        <w:t> 未被列入严重违法失信名单</w:t>
      </w:r>
      <w:r>
        <w:rPr>
          <w:rFonts w:ascii="黑体" w:eastAsia="黑体" w:hint="eastAsia"/>
          <w:sz w:val="19"/>
        </w:rPr>
        <w:t>（</w:t>
      </w:r>
      <w:r>
        <w:rPr>
          <w:rFonts w:ascii="黑体" w:eastAsia="黑体" w:hint="eastAsia"/>
          <w:spacing w:val="-9"/>
          <w:sz w:val="19"/>
        </w:rPr>
        <w:t> 黑名单</w:t>
      </w:r>
      <w:r>
        <w:rPr>
          <w:rFonts w:ascii="黑体" w:eastAsia="黑体" w:hint="eastAsia"/>
          <w:sz w:val="19"/>
        </w:rPr>
        <w:t>） </w:t>
      </w:r>
      <w:r>
        <w:rPr>
          <w:rFonts w:ascii="黑体" w:eastAsia="黑体" w:hint="eastAsia"/>
          <w:spacing w:val="15"/>
          <w:sz w:val="19"/>
        </w:rPr>
        <w:t>信息</w:t>
      </w:r>
      <w:r>
        <w:rPr>
          <w:rFonts w:ascii="黑体" w:eastAsia="黑体" w:hint="eastAsia"/>
          <w:sz w:val="19"/>
        </w:rPr>
        <w:t>（</w:t>
      </w:r>
      <w:r>
        <w:rPr>
          <w:rFonts w:ascii="黑体" w:eastAsia="黑体" w:hint="eastAsia"/>
          <w:spacing w:val="-2"/>
          <w:sz w:val="19"/>
        </w:rPr>
        <w:t> 投标文件中无需提供相关截图， 以开标现场查询为准</w:t>
      </w:r>
      <w:r>
        <w:rPr>
          <w:rFonts w:ascii="黑体" w:eastAsia="黑体" w:hint="eastAsia"/>
          <w:spacing w:val="15"/>
          <w:sz w:val="19"/>
        </w:rPr>
        <w:t>）</w:t>
      </w:r>
      <w:r>
        <w:rPr>
          <w:rFonts w:ascii="黑体" w:eastAsia="黑体" w:hint="eastAsia"/>
          <w:sz w:val="19"/>
        </w:rPr>
        <w:t>。</w:t>
      </w:r>
    </w:p>
    <w:p>
      <w:pPr>
        <w:pStyle w:val="ListParagraph"/>
        <w:numPr>
          <w:ilvl w:val="1"/>
          <w:numId w:val="3"/>
        </w:numPr>
        <w:tabs>
          <w:tab w:pos="949" w:val="left" w:leader="none"/>
        </w:tabs>
        <w:spacing w:line="240" w:lineRule="auto" w:before="150" w:after="0"/>
        <w:ind w:left="948" w:right="0" w:hanging="415"/>
        <w:jc w:val="left"/>
        <w:rPr>
          <w:rFonts w:ascii="黑体" w:eastAsia="黑体" w:hint="eastAsia"/>
          <w:sz w:val="20"/>
        </w:rPr>
      </w:pPr>
      <w:r>
        <w:rPr>
          <w:rFonts w:ascii="黑体" w:eastAsia="黑体" w:hint="eastAsia"/>
          <w:spacing w:val="3"/>
          <w:sz w:val="20"/>
        </w:rPr>
        <w:t>其他要求：</w:t>
      </w:r>
    </w:p>
    <w:p>
      <w:pPr>
        <w:pStyle w:val="BodyText"/>
        <w:spacing w:before="3"/>
        <w:rPr>
          <w:rFonts w:ascii="黑体"/>
          <w:sz w:val="23"/>
        </w:rPr>
      </w:pPr>
    </w:p>
    <w:p>
      <w:pPr>
        <w:pStyle w:val="ListParagraph"/>
        <w:numPr>
          <w:ilvl w:val="2"/>
          <w:numId w:val="3"/>
        </w:numPr>
        <w:tabs>
          <w:tab w:pos="1180" w:val="left" w:leader="none"/>
        </w:tabs>
        <w:spacing w:line="240" w:lineRule="auto" w:before="0" w:after="0"/>
        <w:ind w:left="1179" w:right="0" w:hanging="624"/>
        <w:jc w:val="left"/>
        <w:rPr>
          <w:rFonts w:ascii="黑体" w:eastAsia="黑体" w:hint="eastAsia"/>
          <w:sz w:val="20"/>
        </w:rPr>
      </w:pPr>
      <w:r>
        <w:rPr>
          <w:rFonts w:ascii="黑体" w:eastAsia="黑体" w:hint="eastAsia"/>
          <w:spacing w:val="6"/>
          <w:sz w:val="20"/>
        </w:rPr>
        <w:t>与招标人存在利害关系可能影响招标公正性的法人、其他组织或者个人，不得参加投标</w:t>
      </w:r>
    </w:p>
    <w:p>
      <w:pPr>
        <w:pStyle w:val="BodyText"/>
        <w:spacing w:line="333" w:lineRule="auto" w:before="97"/>
        <w:ind w:left="115" w:right="1185"/>
        <w:rPr>
          <w:rFonts w:ascii="黑体" w:eastAsia="黑体" w:hint="eastAsia"/>
        </w:rPr>
      </w:pPr>
      <w:r>
        <w:rPr>
          <w:rFonts w:ascii="黑体" w:eastAsia="黑体" w:hint="eastAsia"/>
        </w:rPr>
        <w:t>；单位负责人为同一人或者存在控股、管理关系的不同单位，不得参加同一标段投标或者未划分标段的同一招标项目投标。</w:t>
      </w:r>
    </w:p>
    <w:p>
      <w:pPr>
        <w:pStyle w:val="ListParagraph"/>
        <w:numPr>
          <w:ilvl w:val="2"/>
          <w:numId w:val="3"/>
        </w:numPr>
        <w:tabs>
          <w:tab w:pos="1180" w:val="left" w:leader="none"/>
        </w:tabs>
        <w:spacing w:line="240" w:lineRule="auto" w:before="149" w:after="0"/>
        <w:ind w:left="1179" w:right="0" w:hanging="624"/>
        <w:jc w:val="left"/>
        <w:rPr>
          <w:rFonts w:ascii="黑体" w:eastAsia="黑体" w:hint="eastAsia"/>
          <w:sz w:val="20"/>
        </w:rPr>
      </w:pPr>
      <w:r>
        <w:rPr>
          <w:rFonts w:ascii="黑体" w:eastAsia="黑体" w:hint="eastAsia"/>
          <w:spacing w:val="5"/>
          <w:sz w:val="20"/>
        </w:rPr>
        <w:t>本次招标不接受联合体投标。</w:t>
      </w:r>
    </w:p>
    <w:p>
      <w:pPr>
        <w:pStyle w:val="ListParagraph"/>
        <w:numPr>
          <w:ilvl w:val="2"/>
          <w:numId w:val="3"/>
        </w:numPr>
        <w:tabs>
          <w:tab w:pos="1163" w:val="left" w:leader="none"/>
        </w:tabs>
        <w:spacing w:line="240" w:lineRule="auto" w:before="147" w:after="0"/>
        <w:ind w:left="1162" w:right="0" w:hanging="624"/>
        <w:jc w:val="left"/>
        <w:rPr>
          <w:rFonts w:ascii="黑体" w:eastAsia="黑体" w:hint="eastAsia"/>
          <w:sz w:val="20"/>
        </w:rPr>
      </w:pPr>
      <w:r>
        <w:rPr>
          <w:rFonts w:ascii="黑体" w:eastAsia="黑体" w:hint="eastAsia"/>
          <w:spacing w:val="6"/>
          <w:sz w:val="20"/>
        </w:rPr>
        <w:t>所有证明材料如正在办理延期或变更等事宜，需提供相关部门出具的有效证明材料。</w:t>
      </w:r>
    </w:p>
    <w:p>
      <w:pPr>
        <w:pStyle w:val="Heading3"/>
        <w:spacing w:before="157"/>
        <w:ind w:left="761"/>
      </w:pPr>
      <w:r>
        <w:rPr/>
        <w:t>4.招标文件的获取</w:t>
      </w:r>
    </w:p>
    <w:p>
      <w:pPr>
        <w:pStyle w:val="BodyText"/>
        <w:spacing w:line="307" w:lineRule="auto" w:before="224"/>
        <w:ind w:left="128" w:right="985" w:firstLine="408"/>
        <w:jc w:val="both"/>
      </w:pPr>
      <w:r>
        <w:rPr/>
        <w:t>4.1</w:t>
      </w:r>
      <w:r>
        <w:rPr>
          <w:spacing w:val="-7"/>
        </w:rPr>
        <w:t> 凡有意参加投标者，请于 </w:t>
      </w:r>
      <w:r>
        <w:rPr/>
        <w:t>2025</w:t>
      </w:r>
      <w:r>
        <w:rPr>
          <w:spacing w:val="-25"/>
        </w:rPr>
        <w:t> 年 </w:t>
      </w:r>
      <w:r>
        <w:rPr/>
        <w:t>6</w:t>
      </w:r>
      <w:r>
        <w:rPr>
          <w:spacing w:val="-10"/>
        </w:rPr>
        <w:t>月 </w:t>
      </w:r>
      <w:r>
        <w:rPr/>
        <w:t>16</w:t>
      </w:r>
      <w:r>
        <w:rPr>
          <w:spacing w:val="-11"/>
        </w:rPr>
        <w:t> 日 </w:t>
      </w:r>
      <w:r>
        <w:rPr/>
        <w:t>00：00</w:t>
      </w:r>
      <w:r>
        <w:rPr>
          <w:spacing w:val="-16"/>
        </w:rPr>
        <w:t> 时至 </w:t>
      </w:r>
      <w:r>
        <w:rPr/>
        <w:t>2025</w:t>
      </w:r>
      <w:r>
        <w:rPr>
          <w:spacing w:val="-20"/>
        </w:rPr>
        <w:t> 年</w:t>
      </w:r>
      <w:r>
        <w:rPr/>
        <w:t>6</w:t>
      </w:r>
      <w:r>
        <w:rPr>
          <w:spacing w:val="-17"/>
        </w:rPr>
        <w:t>月 </w:t>
      </w:r>
      <w:r>
        <w:rPr/>
        <w:t>21</w:t>
      </w:r>
      <w:r>
        <w:rPr>
          <w:spacing w:val="-7"/>
        </w:rPr>
        <w:t> 日 </w:t>
      </w:r>
      <w:r>
        <w:rPr/>
        <w:t>00：00</w:t>
      </w:r>
      <w:r>
        <w:rPr>
          <w:spacing w:val="-15"/>
        </w:rPr>
        <w:t> 时</w:t>
      </w:r>
      <w:r>
        <w:rPr/>
        <w:t>（北京</w:t>
      </w:r>
      <w:r>
        <w:rPr>
          <w:spacing w:val="7"/>
        </w:rPr>
        <w:t>时间，下同</w:t>
      </w:r>
      <w:r>
        <w:rPr>
          <w:spacing w:val="15"/>
        </w:rPr>
        <w:t>），</w:t>
      </w:r>
      <w:r>
        <w:rPr>
          <w:spacing w:val="7"/>
        </w:rPr>
        <w:t>登录招标通电子招投标交易平台（https://</w:t>
      </w:r>
      <w:hyperlink r:id="rId8">
        <w:r>
          <w:rPr>
            <w:spacing w:val="7"/>
          </w:rPr>
          <w:t>www.hebztb.com/自主网上报名</w:t>
        </w:r>
      </w:hyperlink>
      <w:r>
        <w:rPr>
          <w:spacing w:val="5"/>
        </w:rPr>
        <w:t>，下载</w:t>
      </w:r>
      <w:r>
        <w:rPr>
          <w:spacing w:val="5"/>
        </w:rPr>
        <w:t>电子招标文件、澄清或修改等资料。</w:t>
      </w:r>
    </w:p>
    <w:p>
      <w:pPr>
        <w:pStyle w:val="ListParagraph"/>
        <w:numPr>
          <w:ilvl w:val="1"/>
          <w:numId w:val="4"/>
        </w:numPr>
        <w:tabs>
          <w:tab w:pos="920" w:val="left" w:leader="none"/>
        </w:tabs>
        <w:spacing w:line="240" w:lineRule="auto" w:before="161" w:after="0"/>
        <w:ind w:left="920" w:right="0" w:hanging="384"/>
        <w:jc w:val="left"/>
        <w:rPr>
          <w:sz w:val="20"/>
        </w:rPr>
      </w:pPr>
      <w:r>
        <w:rPr>
          <w:sz w:val="20"/>
        </w:rPr>
        <w:t>招标文件每套售价 0</w:t>
      </w:r>
      <w:r>
        <w:rPr>
          <w:spacing w:val="-1"/>
          <w:sz w:val="20"/>
        </w:rPr>
        <w:t> 元，售后不退。</w:t>
      </w:r>
    </w:p>
    <w:p>
      <w:pPr>
        <w:pStyle w:val="BodyText"/>
        <w:rPr>
          <w:sz w:val="23"/>
        </w:rPr>
      </w:pPr>
    </w:p>
    <w:p>
      <w:pPr>
        <w:pStyle w:val="ListParagraph"/>
        <w:numPr>
          <w:ilvl w:val="1"/>
          <w:numId w:val="4"/>
        </w:numPr>
        <w:tabs>
          <w:tab w:pos="942" w:val="left" w:leader="none"/>
        </w:tabs>
        <w:spacing w:line="240" w:lineRule="auto" w:before="1" w:after="0"/>
        <w:ind w:left="941" w:right="0" w:hanging="405"/>
        <w:jc w:val="left"/>
        <w:rPr>
          <w:sz w:val="20"/>
        </w:rPr>
      </w:pPr>
      <w:r>
        <w:rPr>
          <w:spacing w:val="7"/>
          <w:sz w:val="20"/>
        </w:rPr>
        <w:t>本项目采用全电子流程招投标，投标单位须在及招标通电子招投标交易平台</w:t>
      </w:r>
      <w:r>
        <w:rPr>
          <w:spacing w:val="6"/>
          <w:sz w:val="20"/>
        </w:rPr>
        <w:t>（https://ww</w:t>
      </w:r>
    </w:p>
    <w:p>
      <w:pPr>
        <w:pStyle w:val="BodyText"/>
        <w:spacing w:line="307" w:lineRule="auto" w:before="67"/>
        <w:ind w:left="115" w:right="1093"/>
      </w:pPr>
      <w:r>
        <w:rPr/>
        <w:t>w.hebztb.com/办理注册登记；编制投标文件需使用河北 CA，河北 CA 注册有一定周期，请及时办理以免影响本次项目投标。</w:t>
      </w:r>
    </w:p>
    <w:p>
      <w:pPr>
        <w:pStyle w:val="BodyText"/>
        <w:spacing w:before="9"/>
        <w:rPr>
          <w:sz w:val="21"/>
        </w:rPr>
      </w:pPr>
    </w:p>
    <w:p>
      <w:pPr>
        <w:pStyle w:val="Heading3"/>
        <w:ind w:left="768"/>
      </w:pPr>
      <w:r>
        <w:rPr/>
        <w:t>5.投标文件的递交</w:t>
      </w:r>
    </w:p>
    <w:p>
      <w:pPr>
        <w:pStyle w:val="ListParagraph"/>
        <w:numPr>
          <w:ilvl w:val="1"/>
          <w:numId w:val="5"/>
        </w:numPr>
        <w:tabs>
          <w:tab w:pos="966" w:val="left" w:leader="none"/>
        </w:tabs>
        <w:spacing w:line="304" w:lineRule="auto" w:before="229" w:after="0"/>
        <w:ind w:left="118" w:right="1151" w:firstLine="422"/>
        <w:jc w:val="left"/>
        <w:rPr>
          <w:sz w:val="20"/>
        </w:rPr>
      </w:pPr>
      <w:r>
        <w:rPr>
          <w:spacing w:val="5"/>
          <w:sz w:val="20"/>
        </w:rPr>
        <w:t>投标文件递交的截止时间</w:t>
      </w:r>
      <w:r>
        <w:rPr>
          <w:spacing w:val="5"/>
          <w:sz w:val="20"/>
        </w:rPr>
        <w:t>（</w:t>
      </w:r>
      <w:r>
        <w:rPr>
          <w:spacing w:val="5"/>
          <w:sz w:val="20"/>
        </w:rPr>
        <w:t>投标截止时间，下同</w:t>
      </w:r>
      <w:r>
        <w:rPr>
          <w:spacing w:val="5"/>
          <w:sz w:val="20"/>
        </w:rPr>
        <w:t>）</w:t>
      </w:r>
      <w:r>
        <w:rPr>
          <w:spacing w:val="-15"/>
          <w:sz w:val="20"/>
        </w:rPr>
        <w:t>为 </w:t>
      </w:r>
      <w:r>
        <w:rPr>
          <w:spacing w:val="1"/>
          <w:sz w:val="20"/>
        </w:rPr>
        <w:t>2025</w:t>
      </w:r>
      <w:r>
        <w:rPr>
          <w:spacing w:val="-12"/>
          <w:sz w:val="20"/>
        </w:rPr>
        <w:t> 年</w:t>
      </w:r>
      <w:r>
        <w:rPr>
          <w:sz w:val="20"/>
        </w:rPr>
        <w:t>7</w:t>
      </w:r>
      <w:r>
        <w:rPr>
          <w:spacing w:val="-36"/>
          <w:sz w:val="20"/>
        </w:rPr>
        <w:t> 月 </w:t>
      </w:r>
      <w:r>
        <w:rPr>
          <w:sz w:val="20"/>
        </w:rPr>
        <w:t>7</w:t>
      </w:r>
      <w:r>
        <w:rPr>
          <w:spacing w:val="-16"/>
          <w:sz w:val="20"/>
        </w:rPr>
        <w:t>日 </w:t>
      </w:r>
      <w:r>
        <w:rPr>
          <w:sz w:val="20"/>
        </w:rPr>
        <w:t>08：30</w:t>
      </w:r>
      <w:r>
        <w:rPr>
          <w:spacing w:val="2"/>
          <w:sz w:val="20"/>
        </w:rPr>
        <w:t> 时，投标人</w:t>
      </w:r>
      <w:r>
        <w:rPr>
          <w:spacing w:val="7"/>
          <w:sz w:val="20"/>
        </w:rPr>
        <w:t>应在截止时间前通过招标通电子招投标交易平台（https://</w:t>
      </w:r>
      <w:hyperlink r:id="rId9">
        <w:r>
          <w:rPr>
            <w:spacing w:val="7"/>
            <w:sz w:val="20"/>
          </w:rPr>
          <w:t>www.hebztb.com/</w:t>
        </w:r>
        <w:r>
          <w:rPr>
            <w:spacing w:val="5"/>
            <w:sz w:val="20"/>
          </w:rPr>
          <w:t>上传加密的电子投</w:t>
        </w:r>
      </w:hyperlink>
      <w:r>
        <w:rPr>
          <w:spacing w:val="5"/>
          <w:sz w:val="20"/>
        </w:rPr>
        <w:t>标文件并投标。</w:t>
      </w:r>
    </w:p>
    <w:p>
      <w:pPr>
        <w:pStyle w:val="ListParagraph"/>
        <w:numPr>
          <w:ilvl w:val="1"/>
          <w:numId w:val="5"/>
        </w:numPr>
        <w:tabs>
          <w:tab w:pos="1004" w:val="left" w:leader="none"/>
        </w:tabs>
        <w:spacing w:line="240" w:lineRule="auto" w:before="154" w:after="0"/>
        <w:ind w:left="1004" w:right="0" w:hanging="464"/>
        <w:jc w:val="left"/>
        <w:rPr>
          <w:sz w:val="20"/>
        </w:rPr>
      </w:pPr>
      <w:r>
        <w:rPr>
          <w:spacing w:val="5"/>
          <w:sz w:val="20"/>
        </w:rPr>
        <w:t>电子投标文件逾期送达的、或者未送达指定地点，招标人不予受理。</w:t>
      </w:r>
    </w:p>
    <w:p>
      <w:pPr>
        <w:pStyle w:val="Heading3"/>
        <w:spacing w:before="157"/>
        <w:ind w:left="766"/>
      </w:pPr>
      <w:r>
        <w:rPr/>
        <w:t>6.发布公告的媒介</w:t>
      </w:r>
    </w:p>
    <w:p>
      <w:pPr>
        <w:pStyle w:val="BodyText"/>
        <w:spacing w:line="372" w:lineRule="auto" w:before="229"/>
        <w:ind w:left="115" w:right="928" w:firstLine="422"/>
        <w:rPr>
          <w:sz w:val="19"/>
        </w:rPr>
      </w:pPr>
      <w:r>
        <w:rPr>
          <w:spacing w:val="8"/>
        </w:rPr>
        <w:t>本次招标公告同时在《河北省招标投标公共服务平台》 </w:t>
      </w:r>
      <w:r>
        <w:rPr>
          <w:spacing w:val="2"/>
        </w:rPr>
        <w:t>（</w:t>
      </w:r>
      <w:hyperlink r:id="rId10">
        <w:r>
          <w:rPr>
            <w:spacing w:val="2"/>
          </w:rPr>
          <w:t>http://</w:t>
        </w:r>
        <w:r>
          <w:rPr>
            <w:spacing w:val="-79"/>
          </w:rPr>
          <w:t> </w:t>
        </w:r>
        <w:r>
          <w:rPr>
            <w:spacing w:val="1"/>
          </w:rPr>
          <w:t>www.hebeieb.com/</w:t>
        </w:r>
      </w:hyperlink>
      <w:r>
        <w:rPr>
          <w:spacing w:val="1"/>
        </w:rPr>
        <w:t>）</w:t>
      </w:r>
      <w:r>
        <w:rPr>
          <w:spacing w:val="8"/>
        </w:rPr>
        <w:t>、招标</w:t>
      </w:r>
      <w:r>
        <w:rPr>
          <w:spacing w:val="10"/>
        </w:rPr>
        <w:t>通电子招投标交易平台</w:t>
      </w:r>
      <w:r>
        <w:rPr>
          <w:spacing w:val="10"/>
        </w:rPr>
        <w:t>（https://</w:t>
      </w:r>
      <w:hyperlink r:id="rId11">
        <w:r>
          <w:rPr>
            <w:spacing w:val="10"/>
          </w:rPr>
          <w:t>www.hebztb.com/</w:t>
        </w:r>
        <w:r>
          <w:rPr>
            <w:spacing w:val="-79"/>
          </w:rPr>
          <w:t> </w:t>
        </w:r>
      </w:hyperlink>
      <w:r>
        <w:rPr>
          <w:spacing w:val="20"/>
        </w:rPr>
        <w:t>、张北县大容新能源开发有限公司</w:t>
      </w:r>
      <w:r>
        <w:rPr>
          <w:sz w:val="19"/>
        </w:rPr>
        <w:t>（</w:t>
      </w:r>
      <w:r>
        <w:rPr>
          <w:spacing w:val="-70"/>
          <w:sz w:val="19"/>
        </w:rPr>
        <w:t> </w:t>
      </w:r>
      <w:r>
        <w:rPr>
          <w:sz w:val="19"/>
        </w:rPr>
        <w:t>http</w:t>
      </w:r>
      <w:r>
        <w:rPr>
          <w:spacing w:val="-38"/>
          <w:sz w:val="19"/>
        </w:rPr>
        <w:t>: </w:t>
      </w:r>
      <w:r>
        <w:rPr>
          <w:sz w:val="19"/>
        </w:rPr>
        <w:t>/</w:t>
      </w:r>
    </w:p>
    <w:p>
      <w:pPr>
        <w:spacing w:line="372" w:lineRule="auto" w:before="0"/>
        <w:ind w:left="115" w:right="876" w:firstLine="0"/>
        <w:jc w:val="left"/>
        <w:rPr>
          <w:sz w:val="20"/>
        </w:rPr>
      </w:pPr>
      <w:r>
        <w:rPr>
          <w:sz w:val="19"/>
        </w:rPr>
        <w:t>/</w:t>
      </w:r>
      <w:r>
        <w:rPr>
          <w:spacing w:val="-74"/>
          <w:sz w:val="19"/>
        </w:rPr>
        <w:t> </w:t>
      </w:r>
      <w:hyperlink r:id="rId6">
        <w:r>
          <w:rPr>
            <w:sz w:val="19"/>
          </w:rPr>
          <w:t>www</w:t>
        </w:r>
        <w:r>
          <w:rPr>
            <w:spacing w:val="-38"/>
            <w:sz w:val="19"/>
          </w:rPr>
          <w:t>. </w:t>
        </w:r>
      </w:hyperlink>
      <w:r>
        <w:rPr>
          <w:sz w:val="19"/>
        </w:rPr>
        <w:t>zbdrxny</w:t>
      </w:r>
      <w:r>
        <w:rPr>
          <w:spacing w:val="-38"/>
          <w:sz w:val="19"/>
        </w:rPr>
        <w:t>. </w:t>
      </w:r>
      <w:r>
        <w:rPr>
          <w:sz w:val="19"/>
        </w:rPr>
        <w:t>com/ ）</w:t>
      </w:r>
      <w:r>
        <w:rPr>
          <w:spacing w:val="-70"/>
          <w:sz w:val="19"/>
        </w:rPr>
        <w:t> </w:t>
      </w:r>
      <w:r>
        <w:rPr>
          <w:spacing w:val="11"/>
          <w:sz w:val="20"/>
        </w:rPr>
        <w:t>上发布。因轻信其他组织 、个人或媒体提供的信息而造成损失招标的，招</w:t>
      </w:r>
      <w:r>
        <w:rPr>
          <w:spacing w:val="6"/>
          <w:sz w:val="20"/>
        </w:rPr>
        <w:t>标人、招标代理机构概不负责。</w:t>
      </w:r>
    </w:p>
    <w:p>
      <w:pPr>
        <w:pStyle w:val="Heading3"/>
        <w:spacing w:before="147"/>
        <w:ind w:left="771"/>
      </w:pPr>
      <w:r>
        <w:rPr/>
        <w:t>7. 本次招标，异议、监督、投诉联系方式电话</w:t>
      </w:r>
    </w:p>
    <w:p>
      <w:pPr>
        <w:pStyle w:val="BodyText"/>
        <w:spacing w:before="133"/>
        <w:ind w:left="555"/>
      </w:pPr>
      <w:r>
        <w:rPr/>
        <w:t>（1）异议渠道：</w:t>
      </w:r>
    </w:p>
    <w:p>
      <w:pPr>
        <w:pStyle w:val="BodyText"/>
        <w:spacing w:before="3"/>
        <w:rPr>
          <w:sz w:val="17"/>
        </w:rPr>
      </w:pPr>
    </w:p>
    <w:p>
      <w:pPr>
        <w:pStyle w:val="BodyText"/>
        <w:spacing w:line="360" w:lineRule="auto"/>
        <w:ind w:left="123" w:right="1086" w:firstLine="415"/>
      </w:pPr>
      <w:r>
        <w:rPr/>
        <w:t>招标人：张北县大容新能源开发有限公司，地 址：张北县张库大道张北县大容新能源开发有限公司，联系方式：牛凡 18703230920，电子邮箱：</w:t>
      </w:r>
      <w:hyperlink r:id="rId12">
        <w:r>
          <w:rPr/>
          <w:t>drxnykf@sina.com</w:t>
        </w:r>
      </w:hyperlink>
    </w:p>
    <w:p>
      <w:pPr>
        <w:spacing w:after="0" w:line="360" w:lineRule="auto"/>
        <w:sectPr>
          <w:pgSz w:w="11910" w:h="16840"/>
          <w:pgMar w:header="0" w:footer="690" w:top="1340" w:bottom="960" w:left="1300" w:right="500"/>
        </w:sectPr>
      </w:pPr>
    </w:p>
    <w:p>
      <w:pPr>
        <w:pStyle w:val="BodyText"/>
        <w:spacing w:line="362" w:lineRule="auto" w:before="60"/>
        <w:ind w:left="123" w:right="1228" w:firstLine="415"/>
      </w:pPr>
      <w:r>
        <w:rPr/>
        <w:t>招标代理机构：河北顺时工程项目管理有限公司，地址：张家口市桥东区京都花园，联系方式：郑文君 13473314174，电子邮箱：</w:t>
      </w:r>
      <w:hyperlink r:id="rId13">
        <w:r>
          <w:rPr/>
          <w:t>946437377@qq.com</w:t>
        </w:r>
      </w:hyperlink>
    </w:p>
    <w:p>
      <w:pPr>
        <w:pStyle w:val="BodyText"/>
        <w:tabs>
          <w:tab w:pos="1116" w:val="left" w:leader="none"/>
        </w:tabs>
        <w:spacing w:before="129"/>
        <w:ind w:left="555"/>
      </w:pPr>
      <w:r>
        <w:rPr>
          <w:spacing w:val="1"/>
        </w:rPr>
        <w:t>(2)</w:t>
        <w:tab/>
      </w:r>
      <w:r>
        <w:rPr>
          <w:spacing w:val="3"/>
        </w:rPr>
        <w:t>监督、投诉联系方式:</w:t>
      </w:r>
    </w:p>
    <w:p>
      <w:pPr>
        <w:pStyle w:val="BodyText"/>
        <w:spacing w:before="3"/>
        <w:rPr>
          <w:sz w:val="17"/>
        </w:rPr>
      </w:pPr>
    </w:p>
    <w:p>
      <w:pPr>
        <w:pStyle w:val="BodyText"/>
        <w:ind w:left="538"/>
      </w:pPr>
      <w:r>
        <w:rPr/>
        <w:t>监督、投诉单位：张北县大容新能源开发有限公司</w:t>
      </w:r>
    </w:p>
    <w:p>
      <w:pPr>
        <w:pStyle w:val="BodyText"/>
        <w:spacing w:before="5"/>
        <w:rPr>
          <w:sz w:val="27"/>
        </w:rPr>
      </w:pPr>
    </w:p>
    <w:p>
      <w:pPr>
        <w:pStyle w:val="BodyText"/>
        <w:ind w:left="538"/>
      </w:pPr>
      <w:r>
        <w:rPr/>
        <w:t>地 址：张北县张库大道张北县大容新能源开发有限公司，</w:t>
      </w:r>
    </w:p>
    <w:p>
      <w:pPr>
        <w:pStyle w:val="BodyText"/>
        <w:spacing w:before="8"/>
        <w:rPr>
          <w:sz w:val="27"/>
        </w:rPr>
      </w:pPr>
    </w:p>
    <w:p>
      <w:pPr>
        <w:pStyle w:val="BodyText"/>
        <w:ind w:left="538"/>
      </w:pPr>
      <w:r>
        <w:rPr/>
        <w:t>联系方式：牛凡 18703230920，电子邮箱：</w:t>
      </w:r>
      <w:hyperlink r:id="rId12">
        <w:r>
          <w:rPr/>
          <w:t>drxnykf@sina.com</w:t>
        </w:r>
      </w:hyperlink>
    </w:p>
    <w:p>
      <w:pPr>
        <w:pStyle w:val="BodyText"/>
      </w:pPr>
    </w:p>
    <w:p>
      <w:pPr>
        <w:pStyle w:val="Heading7"/>
        <w:spacing w:line="364" w:lineRule="auto" w:before="133"/>
        <w:ind w:left="115" w:right="983"/>
      </w:pPr>
      <w:r>
        <w:rPr>
          <w:rFonts w:ascii="宋体" w:eastAsia="宋体" w:hint="eastAsia"/>
          <w:b/>
          <w:sz w:val="31"/>
        </w:rPr>
        <w:t>8.</w:t>
      </w:r>
      <w:r>
        <w:rPr/>
        <w:t>招标人或者其委托的招标代理机构使用的第三方交易平台的付费主体及收费标准：</w:t>
      </w:r>
    </w:p>
    <w:tbl>
      <w:tblPr>
        <w:tblW w:w="0" w:type="auto"/>
        <w:jc w:val="left"/>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5"/>
        <w:gridCol w:w="1770"/>
        <w:gridCol w:w="1964"/>
      </w:tblGrid>
      <w:tr>
        <w:trPr>
          <w:trHeight w:val="690" w:hRule="atLeast"/>
        </w:trPr>
        <w:tc>
          <w:tcPr>
            <w:tcW w:w="5245" w:type="dxa"/>
          </w:tcPr>
          <w:p>
            <w:pPr>
              <w:pStyle w:val="TableParagraph"/>
              <w:spacing w:before="157"/>
              <w:ind w:left="297" w:right="298"/>
              <w:jc w:val="center"/>
              <w:rPr>
                <w:sz w:val="19"/>
              </w:rPr>
            </w:pPr>
            <w:r>
              <w:rPr>
                <w:sz w:val="19"/>
              </w:rPr>
              <w:t>标段名称</w:t>
            </w:r>
          </w:p>
        </w:tc>
        <w:tc>
          <w:tcPr>
            <w:tcW w:w="1770" w:type="dxa"/>
          </w:tcPr>
          <w:p>
            <w:pPr>
              <w:pStyle w:val="TableParagraph"/>
              <w:spacing w:before="157"/>
              <w:ind w:left="480" w:right="479"/>
              <w:jc w:val="center"/>
              <w:rPr>
                <w:sz w:val="19"/>
              </w:rPr>
            </w:pPr>
            <w:r>
              <w:rPr>
                <w:sz w:val="19"/>
              </w:rPr>
              <w:t>付费主体</w:t>
            </w:r>
          </w:p>
        </w:tc>
        <w:tc>
          <w:tcPr>
            <w:tcW w:w="1964" w:type="dxa"/>
          </w:tcPr>
          <w:p>
            <w:pPr>
              <w:pStyle w:val="TableParagraph"/>
              <w:spacing w:before="157"/>
              <w:ind w:left="292" w:right="292"/>
              <w:jc w:val="center"/>
              <w:rPr>
                <w:sz w:val="19"/>
              </w:rPr>
            </w:pPr>
            <w:r>
              <w:rPr>
                <w:sz w:val="19"/>
              </w:rPr>
              <w:t>收费金额（元）</w:t>
            </w:r>
          </w:p>
        </w:tc>
      </w:tr>
      <w:tr>
        <w:trPr>
          <w:trHeight w:val="777" w:hRule="atLeast"/>
        </w:trPr>
        <w:tc>
          <w:tcPr>
            <w:tcW w:w="5245" w:type="dxa"/>
          </w:tcPr>
          <w:p>
            <w:pPr>
              <w:pStyle w:val="TableParagraph"/>
              <w:spacing w:before="1"/>
              <w:rPr>
                <w:rFonts w:ascii="黑体"/>
                <w:sz w:val="15"/>
              </w:rPr>
            </w:pPr>
          </w:p>
          <w:p>
            <w:pPr>
              <w:pStyle w:val="TableParagraph"/>
              <w:ind w:left="297" w:right="298"/>
              <w:jc w:val="center"/>
              <w:rPr>
                <w:sz w:val="20"/>
              </w:rPr>
            </w:pPr>
            <w:r>
              <w:rPr>
                <w:sz w:val="20"/>
              </w:rPr>
              <w:t>张北县6.25MW村级分布式屋顶光伏电站运维服务项目</w:t>
            </w:r>
          </w:p>
        </w:tc>
        <w:tc>
          <w:tcPr>
            <w:tcW w:w="1770" w:type="dxa"/>
          </w:tcPr>
          <w:p>
            <w:pPr>
              <w:pStyle w:val="TableParagraph"/>
              <w:spacing w:before="8"/>
              <w:rPr>
                <w:rFonts w:ascii="黑体"/>
                <w:sz w:val="15"/>
              </w:rPr>
            </w:pPr>
          </w:p>
          <w:p>
            <w:pPr>
              <w:pStyle w:val="TableParagraph"/>
              <w:ind w:left="479" w:right="479"/>
              <w:jc w:val="center"/>
              <w:rPr>
                <w:sz w:val="19"/>
              </w:rPr>
            </w:pPr>
            <w:r>
              <w:rPr>
                <w:sz w:val="19"/>
              </w:rPr>
              <w:t>投标人</w:t>
            </w:r>
          </w:p>
        </w:tc>
        <w:tc>
          <w:tcPr>
            <w:tcW w:w="1964" w:type="dxa"/>
          </w:tcPr>
          <w:p>
            <w:pPr>
              <w:pStyle w:val="TableParagraph"/>
              <w:spacing w:before="8"/>
              <w:rPr>
                <w:rFonts w:ascii="黑体"/>
                <w:sz w:val="15"/>
              </w:rPr>
            </w:pPr>
          </w:p>
          <w:p>
            <w:pPr>
              <w:pStyle w:val="TableParagraph"/>
              <w:ind w:left="291" w:right="292"/>
              <w:jc w:val="center"/>
              <w:rPr>
                <w:sz w:val="19"/>
              </w:rPr>
            </w:pPr>
            <w:r>
              <w:rPr>
                <w:sz w:val="19"/>
              </w:rPr>
              <w:t>800</w:t>
            </w:r>
          </w:p>
        </w:tc>
      </w:tr>
    </w:tbl>
    <w:p>
      <w:pPr>
        <w:spacing w:after="0"/>
        <w:jc w:val="center"/>
        <w:rPr>
          <w:sz w:val="19"/>
        </w:rPr>
        <w:sectPr>
          <w:pgSz w:w="11910" w:h="16840"/>
          <w:pgMar w:header="0" w:footer="690" w:top="1340" w:bottom="960" w:left="1300" w:right="500"/>
        </w:sectPr>
      </w:pPr>
    </w:p>
    <w:p>
      <w:pPr>
        <w:pStyle w:val="Heading1"/>
        <w:ind w:left="3144"/>
      </w:pPr>
      <w:bookmarkStart w:name="第二章 投标人须知" w:id="3"/>
      <w:bookmarkEnd w:id="3"/>
      <w:r>
        <w:rPr>
          <w:b w:val="0"/>
        </w:rPr>
      </w:r>
      <w:bookmarkStart w:name="_bookmark1" w:id="4"/>
      <w:bookmarkEnd w:id="4"/>
      <w:r>
        <w:rPr>
          <w:b w:val="0"/>
        </w:rPr>
      </w:r>
      <w:r>
        <w:rPr/>
        <w:t>第二章 投标人须知</w:t>
      </w:r>
    </w:p>
    <w:p>
      <w:pPr>
        <w:pStyle w:val="BodyText"/>
        <w:spacing w:before="3"/>
        <w:rPr>
          <w:b/>
          <w:sz w:val="40"/>
        </w:rPr>
      </w:pPr>
    </w:p>
    <w:p>
      <w:pPr>
        <w:pStyle w:val="Heading5"/>
      </w:pPr>
      <w:r>
        <w:rPr/>
        <w:t>投标人须知前附表</w:t>
      </w:r>
    </w:p>
    <w:p>
      <w:pPr>
        <w:pStyle w:val="BodyText"/>
        <w:spacing w:before="11"/>
        <w:rPr>
          <w:b/>
          <w:sz w:val="13"/>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68"/>
        <w:gridCol w:w="2158"/>
        <w:gridCol w:w="6543"/>
      </w:tblGrid>
      <w:tr>
        <w:trPr>
          <w:trHeight w:val="575" w:hRule="atLeast"/>
        </w:trPr>
        <w:tc>
          <w:tcPr>
            <w:tcW w:w="1168" w:type="dxa"/>
          </w:tcPr>
          <w:p>
            <w:pPr>
              <w:pStyle w:val="TableParagraph"/>
              <w:spacing w:before="172"/>
              <w:ind w:left="259" w:right="260"/>
              <w:jc w:val="center"/>
              <w:rPr>
                <w:b/>
                <w:sz w:val="20"/>
              </w:rPr>
            </w:pPr>
            <w:r>
              <w:rPr>
                <w:b/>
                <w:sz w:val="20"/>
              </w:rPr>
              <w:t>条款号</w:t>
            </w:r>
          </w:p>
        </w:tc>
        <w:tc>
          <w:tcPr>
            <w:tcW w:w="2158" w:type="dxa"/>
          </w:tcPr>
          <w:p>
            <w:pPr>
              <w:pStyle w:val="TableParagraph"/>
              <w:spacing w:before="172"/>
              <w:ind w:left="664"/>
              <w:rPr>
                <w:b/>
                <w:sz w:val="20"/>
              </w:rPr>
            </w:pPr>
            <w:r>
              <w:rPr>
                <w:b/>
                <w:sz w:val="20"/>
              </w:rPr>
              <w:t>条款名称</w:t>
            </w:r>
          </w:p>
        </w:tc>
        <w:tc>
          <w:tcPr>
            <w:tcW w:w="6543" w:type="dxa"/>
          </w:tcPr>
          <w:p>
            <w:pPr>
              <w:pStyle w:val="TableParagraph"/>
              <w:spacing w:before="172"/>
              <w:ind w:left="2846" w:right="2847"/>
              <w:jc w:val="center"/>
              <w:rPr>
                <w:b/>
                <w:sz w:val="20"/>
              </w:rPr>
            </w:pPr>
            <w:r>
              <w:rPr>
                <w:b/>
                <w:sz w:val="20"/>
              </w:rPr>
              <w:t>编列内容</w:t>
            </w:r>
          </w:p>
        </w:tc>
      </w:tr>
      <w:tr>
        <w:trPr>
          <w:trHeight w:val="1529" w:hRule="atLeast"/>
        </w:trPr>
        <w:tc>
          <w:tcPr>
            <w:tcW w:w="1168" w:type="dxa"/>
          </w:tcPr>
          <w:p>
            <w:pPr>
              <w:pStyle w:val="TableParagraph"/>
              <w:rPr>
                <w:b/>
                <w:sz w:val="20"/>
              </w:rPr>
            </w:pPr>
          </w:p>
          <w:p>
            <w:pPr>
              <w:pStyle w:val="TableParagraph"/>
              <w:rPr>
                <w:b/>
                <w:sz w:val="20"/>
              </w:rPr>
            </w:pPr>
          </w:p>
          <w:p>
            <w:pPr>
              <w:pStyle w:val="TableParagraph"/>
              <w:spacing w:before="10"/>
              <w:rPr>
                <w:b/>
                <w:sz w:val="14"/>
              </w:rPr>
            </w:pPr>
          </w:p>
          <w:p>
            <w:pPr>
              <w:pStyle w:val="TableParagraph"/>
              <w:ind w:left="43"/>
              <w:jc w:val="center"/>
              <w:rPr>
                <w:sz w:val="20"/>
              </w:rPr>
            </w:pPr>
            <w:r>
              <w:rPr>
                <w:w w:val="99"/>
                <w:sz w:val="20"/>
              </w:rPr>
              <w:t>1</w:t>
            </w:r>
          </w:p>
        </w:tc>
        <w:tc>
          <w:tcPr>
            <w:tcW w:w="2158" w:type="dxa"/>
          </w:tcPr>
          <w:p>
            <w:pPr>
              <w:pStyle w:val="TableParagraph"/>
              <w:rPr>
                <w:b/>
                <w:sz w:val="20"/>
              </w:rPr>
            </w:pPr>
          </w:p>
          <w:p>
            <w:pPr>
              <w:pStyle w:val="TableParagraph"/>
              <w:rPr>
                <w:b/>
                <w:sz w:val="20"/>
              </w:rPr>
            </w:pPr>
          </w:p>
          <w:p>
            <w:pPr>
              <w:pStyle w:val="TableParagraph"/>
              <w:spacing w:before="10"/>
              <w:rPr>
                <w:b/>
                <w:sz w:val="14"/>
              </w:rPr>
            </w:pPr>
          </w:p>
          <w:p>
            <w:pPr>
              <w:pStyle w:val="TableParagraph"/>
              <w:ind w:left="756" w:right="756"/>
              <w:jc w:val="center"/>
              <w:rPr>
                <w:sz w:val="20"/>
              </w:rPr>
            </w:pPr>
            <w:r>
              <w:rPr>
                <w:sz w:val="20"/>
              </w:rPr>
              <w:t>招标人</w:t>
            </w:r>
          </w:p>
        </w:tc>
        <w:tc>
          <w:tcPr>
            <w:tcW w:w="6543" w:type="dxa"/>
          </w:tcPr>
          <w:p>
            <w:pPr>
              <w:pStyle w:val="TableParagraph"/>
              <w:spacing w:before="25"/>
              <w:ind w:left="2"/>
              <w:rPr>
                <w:sz w:val="20"/>
              </w:rPr>
            </w:pPr>
            <w:r>
              <w:rPr>
                <w:sz w:val="20"/>
              </w:rPr>
              <w:t>招标人：张北县大容新能源开发有限公司</w:t>
            </w:r>
          </w:p>
          <w:p>
            <w:pPr>
              <w:pStyle w:val="TableParagraph"/>
              <w:spacing w:line="336" w:lineRule="auto" w:before="104"/>
              <w:ind w:left="2" w:right="1527"/>
              <w:rPr>
                <w:sz w:val="20"/>
              </w:rPr>
            </w:pPr>
            <w:r>
              <w:rPr>
                <w:sz w:val="20"/>
              </w:rPr>
              <w:t>地址：张北县张库大道张北县大容新能源开发有限公司联系人：牛凡</w:t>
            </w:r>
          </w:p>
          <w:p>
            <w:pPr>
              <w:pStyle w:val="TableParagraph"/>
              <w:spacing w:line="252" w:lineRule="exact"/>
              <w:ind w:left="2"/>
              <w:rPr>
                <w:sz w:val="20"/>
              </w:rPr>
            </w:pPr>
            <w:r>
              <w:rPr>
                <w:sz w:val="20"/>
              </w:rPr>
              <w:t>电话：18703230920</w:t>
            </w:r>
          </w:p>
        </w:tc>
      </w:tr>
      <w:tr>
        <w:trPr>
          <w:trHeight w:val="1395" w:hRule="atLeast"/>
        </w:trPr>
        <w:tc>
          <w:tcPr>
            <w:tcW w:w="1168" w:type="dxa"/>
          </w:tcPr>
          <w:p>
            <w:pPr>
              <w:pStyle w:val="TableParagraph"/>
              <w:rPr>
                <w:b/>
                <w:sz w:val="20"/>
              </w:rPr>
            </w:pPr>
          </w:p>
          <w:p>
            <w:pPr>
              <w:pStyle w:val="TableParagraph"/>
              <w:rPr>
                <w:b/>
                <w:sz w:val="20"/>
              </w:rPr>
            </w:pPr>
          </w:p>
          <w:p>
            <w:pPr>
              <w:pStyle w:val="TableParagraph"/>
              <w:spacing w:before="12"/>
              <w:rPr>
                <w:b/>
                <w:sz w:val="14"/>
              </w:rPr>
            </w:pPr>
          </w:p>
          <w:p>
            <w:pPr>
              <w:pStyle w:val="TableParagraph"/>
              <w:ind w:left="19"/>
              <w:jc w:val="center"/>
              <w:rPr>
                <w:sz w:val="20"/>
              </w:rPr>
            </w:pPr>
            <w:r>
              <w:rPr>
                <w:w w:val="99"/>
                <w:sz w:val="20"/>
              </w:rPr>
              <w:t>2</w:t>
            </w:r>
          </w:p>
        </w:tc>
        <w:tc>
          <w:tcPr>
            <w:tcW w:w="2158" w:type="dxa"/>
          </w:tcPr>
          <w:p>
            <w:pPr>
              <w:pStyle w:val="TableParagraph"/>
              <w:rPr>
                <w:b/>
                <w:sz w:val="20"/>
              </w:rPr>
            </w:pPr>
          </w:p>
          <w:p>
            <w:pPr>
              <w:pStyle w:val="TableParagraph"/>
              <w:rPr>
                <w:b/>
                <w:sz w:val="20"/>
              </w:rPr>
            </w:pPr>
          </w:p>
          <w:p>
            <w:pPr>
              <w:pStyle w:val="TableParagraph"/>
              <w:spacing w:before="12"/>
              <w:rPr>
                <w:b/>
                <w:sz w:val="14"/>
              </w:rPr>
            </w:pPr>
          </w:p>
          <w:p>
            <w:pPr>
              <w:pStyle w:val="TableParagraph"/>
              <w:ind w:left="453"/>
              <w:rPr>
                <w:sz w:val="20"/>
              </w:rPr>
            </w:pPr>
            <w:r>
              <w:rPr>
                <w:sz w:val="20"/>
              </w:rPr>
              <w:t>招标代理机构</w:t>
            </w:r>
          </w:p>
        </w:tc>
        <w:tc>
          <w:tcPr>
            <w:tcW w:w="6543" w:type="dxa"/>
          </w:tcPr>
          <w:p>
            <w:pPr>
              <w:pStyle w:val="TableParagraph"/>
              <w:spacing w:line="338" w:lineRule="auto" w:before="25"/>
              <w:ind w:left="2" w:right="2254"/>
              <w:rPr>
                <w:sz w:val="20"/>
              </w:rPr>
            </w:pPr>
            <w:r>
              <w:rPr>
                <w:sz w:val="20"/>
              </w:rPr>
              <w:t>招标代理机构:河北顺时工程项目管理有限公司地址：张家口市桥东区京都花园</w:t>
            </w:r>
          </w:p>
          <w:p>
            <w:pPr>
              <w:pStyle w:val="TableParagraph"/>
              <w:spacing w:line="254" w:lineRule="exact"/>
              <w:ind w:left="2"/>
              <w:rPr>
                <w:sz w:val="20"/>
              </w:rPr>
            </w:pPr>
            <w:r>
              <w:rPr>
                <w:sz w:val="20"/>
              </w:rPr>
              <w:t>联系方式：郑文君</w:t>
            </w:r>
          </w:p>
          <w:p>
            <w:pPr>
              <w:pStyle w:val="TableParagraph"/>
              <w:spacing w:before="99"/>
              <w:ind w:left="2"/>
              <w:rPr>
                <w:sz w:val="20"/>
              </w:rPr>
            </w:pPr>
            <w:r>
              <w:rPr>
                <w:sz w:val="20"/>
              </w:rPr>
              <w:t>电话：13473314174</w:t>
            </w:r>
          </w:p>
        </w:tc>
      </w:tr>
      <w:tr>
        <w:trPr>
          <w:trHeight w:val="572" w:hRule="atLeast"/>
        </w:trPr>
        <w:tc>
          <w:tcPr>
            <w:tcW w:w="1168" w:type="dxa"/>
          </w:tcPr>
          <w:p>
            <w:pPr>
              <w:pStyle w:val="TableParagraph"/>
              <w:spacing w:before="102"/>
              <w:ind w:left="19"/>
              <w:jc w:val="center"/>
              <w:rPr>
                <w:sz w:val="20"/>
              </w:rPr>
            </w:pPr>
            <w:r>
              <w:rPr>
                <w:w w:val="99"/>
                <w:sz w:val="20"/>
              </w:rPr>
              <w:t>3</w:t>
            </w:r>
          </w:p>
        </w:tc>
        <w:tc>
          <w:tcPr>
            <w:tcW w:w="2158" w:type="dxa"/>
          </w:tcPr>
          <w:p>
            <w:pPr>
              <w:pStyle w:val="TableParagraph"/>
              <w:spacing w:before="104"/>
              <w:ind w:left="453"/>
              <w:rPr>
                <w:sz w:val="20"/>
              </w:rPr>
            </w:pPr>
            <w:r>
              <w:rPr>
                <w:sz w:val="20"/>
              </w:rPr>
              <w:t>招标项目名称</w:t>
            </w:r>
          </w:p>
        </w:tc>
        <w:tc>
          <w:tcPr>
            <w:tcW w:w="6543" w:type="dxa"/>
          </w:tcPr>
          <w:p>
            <w:pPr>
              <w:pStyle w:val="TableParagraph"/>
              <w:spacing w:before="104"/>
              <w:ind w:left="2"/>
              <w:rPr>
                <w:sz w:val="20"/>
              </w:rPr>
            </w:pPr>
            <w:r>
              <w:rPr>
                <w:sz w:val="20"/>
              </w:rPr>
              <w:t>张北县6.25MW村级分布式屋顶光伏电站运维服务项目</w:t>
            </w:r>
          </w:p>
        </w:tc>
      </w:tr>
      <w:tr>
        <w:trPr>
          <w:trHeight w:val="572" w:hRule="atLeast"/>
        </w:trPr>
        <w:tc>
          <w:tcPr>
            <w:tcW w:w="1168" w:type="dxa"/>
          </w:tcPr>
          <w:p>
            <w:pPr>
              <w:pStyle w:val="TableParagraph"/>
              <w:spacing w:before="184"/>
              <w:ind w:left="5"/>
              <w:jc w:val="center"/>
              <w:rPr>
                <w:rFonts w:ascii="Times New Roman"/>
                <w:sz w:val="20"/>
              </w:rPr>
            </w:pPr>
            <w:r>
              <w:rPr>
                <w:rFonts w:ascii="Times New Roman"/>
                <w:w w:val="99"/>
                <w:sz w:val="20"/>
              </w:rPr>
              <w:t>4</w:t>
            </w:r>
          </w:p>
        </w:tc>
        <w:tc>
          <w:tcPr>
            <w:tcW w:w="2158" w:type="dxa"/>
          </w:tcPr>
          <w:p>
            <w:pPr>
              <w:pStyle w:val="TableParagraph"/>
              <w:spacing w:before="171"/>
              <w:ind w:left="352"/>
              <w:rPr>
                <w:sz w:val="20"/>
              </w:rPr>
            </w:pPr>
            <w:r>
              <w:rPr>
                <w:sz w:val="20"/>
              </w:rPr>
              <w:t>资金来源及比例</w:t>
            </w:r>
          </w:p>
        </w:tc>
        <w:tc>
          <w:tcPr>
            <w:tcW w:w="6543" w:type="dxa"/>
          </w:tcPr>
          <w:p>
            <w:pPr>
              <w:pStyle w:val="TableParagraph"/>
              <w:spacing w:before="171"/>
              <w:ind w:left="2"/>
              <w:rPr>
                <w:sz w:val="20"/>
              </w:rPr>
            </w:pPr>
            <w:r>
              <w:rPr>
                <w:sz w:val="20"/>
              </w:rPr>
              <w:t>企业自有资金 100%</w:t>
            </w:r>
          </w:p>
        </w:tc>
      </w:tr>
      <w:tr>
        <w:trPr>
          <w:trHeight w:val="571" w:hRule="atLeast"/>
        </w:trPr>
        <w:tc>
          <w:tcPr>
            <w:tcW w:w="1168" w:type="dxa"/>
          </w:tcPr>
          <w:p>
            <w:pPr>
              <w:pStyle w:val="TableParagraph"/>
              <w:spacing w:before="183"/>
              <w:ind w:left="15"/>
              <w:jc w:val="center"/>
              <w:rPr>
                <w:rFonts w:ascii="Times New Roman"/>
                <w:sz w:val="20"/>
              </w:rPr>
            </w:pPr>
            <w:r>
              <w:rPr>
                <w:rFonts w:ascii="Times New Roman"/>
                <w:w w:val="99"/>
                <w:sz w:val="20"/>
              </w:rPr>
              <w:t>5</w:t>
            </w:r>
          </w:p>
        </w:tc>
        <w:tc>
          <w:tcPr>
            <w:tcW w:w="2158" w:type="dxa"/>
          </w:tcPr>
          <w:p>
            <w:pPr>
              <w:pStyle w:val="TableParagraph"/>
              <w:rPr>
                <w:b/>
                <w:sz w:val="19"/>
              </w:rPr>
            </w:pPr>
          </w:p>
          <w:p>
            <w:pPr>
              <w:pStyle w:val="TableParagraph"/>
              <w:spacing w:before="1"/>
              <w:ind w:left="460"/>
              <w:rPr>
                <w:sz w:val="20"/>
              </w:rPr>
            </w:pPr>
            <w:r>
              <w:rPr>
                <w:sz w:val="20"/>
              </w:rPr>
              <w:t>资金落实情况</w:t>
            </w:r>
          </w:p>
        </w:tc>
        <w:tc>
          <w:tcPr>
            <w:tcW w:w="6543" w:type="dxa"/>
          </w:tcPr>
          <w:p>
            <w:pPr>
              <w:pStyle w:val="TableParagraph"/>
              <w:spacing w:before="170"/>
              <w:ind w:left="2"/>
              <w:rPr>
                <w:sz w:val="20"/>
              </w:rPr>
            </w:pPr>
            <w:r>
              <w:rPr>
                <w:sz w:val="20"/>
              </w:rPr>
              <w:t>已落实</w:t>
            </w:r>
          </w:p>
        </w:tc>
      </w:tr>
      <w:tr>
        <w:trPr>
          <w:trHeight w:val="561" w:hRule="atLeast"/>
        </w:trPr>
        <w:tc>
          <w:tcPr>
            <w:tcW w:w="1168" w:type="dxa"/>
          </w:tcPr>
          <w:p>
            <w:pPr>
              <w:pStyle w:val="TableParagraph"/>
              <w:spacing w:before="182"/>
              <w:ind w:left="15"/>
              <w:jc w:val="center"/>
              <w:rPr>
                <w:rFonts w:ascii="Times New Roman"/>
                <w:sz w:val="20"/>
              </w:rPr>
            </w:pPr>
            <w:r>
              <w:rPr>
                <w:rFonts w:ascii="Times New Roman"/>
                <w:w w:val="99"/>
                <w:sz w:val="20"/>
              </w:rPr>
              <w:t>6</w:t>
            </w:r>
          </w:p>
        </w:tc>
        <w:tc>
          <w:tcPr>
            <w:tcW w:w="2158" w:type="dxa"/>
          </w:tcPr>
          <w:p>
            <w:pPr>
              <w:pStyle w:val="TableParagraph"/>
              <w:spacing w:before="1"/>
              <w:rPr>
                <w:b/>
                <w:sz w:val="14"/>
              </w:rPr>
            </w:pPr>
          </w:p>
          <w:p>
            <w:pPr>
              <w:pStyle w:val="TableParagraph"/>
              <w:ind w:left="664"/>
              <w:rPr>
                <w:sz w:val="20"/>
              </w:rPr>
            </w:pPr>
            <w:r>
              <w:rPr>
                <w:sz w:val="20"/>
              </w:rPr>
              <w:t>服务期限</w:t>
            </w:r>
          </w:p>
        </w:tc>
        <w:tc>
          <w:tcPr>
            <w:tcW w:w="6543" w:type="dxa"/>
          </w:tcPr>
          <w:p>
            <w:pPr>
              <w:pStyle w:val="TableParagraph"/>
              <w:spacing w:before="164"/>
              <w:ind w:left="2"/>
              <w:rPr>
                <w:sz w:val="20"/>
              </w:rPr>
            </w:pPr>
            <w:r>
              <w:rPr>
                <w:sz w:val="20"/>
              </w:rPr>
              <w:t>自签订合同之日起共计三年。</w:t>
            </w:r>
          </w:p>
        </w:tc>
      </w:tr>
      <w:tr>
        <w:trPr>
          <w:trHeight w:val="572" w:hRule="atLeast"/>
        </w:trPr>
        <w:tc>
          <w:tcPr>
            <w:tcW w:w="1168" w:type="dxa"/>
          </w:tcPr>
          <w:p>
            <w:pPr>
              <w:pStyle w:val="TableParagraph"/>
              <w:spacing w:before="10"/>
              <w:rPr>
                <w:b/>
                <w:sz w:val="20"/>
              </w:rPr>
            </w:pPr>
          </w:p>
          <w:p>
            <w:pPr>
              <w:pStyle w:val="TableParagraph"/>
              <w:ind w:left="10"/>
              <w:jc w:val="center"/>
              <w:rPr>
                <w:rFonts w:ascii="Times New Roman"/>
                <w:sz w:val="20"/>
              </w:rPr>
            </w:pPr>
            <w:r>
              <w:rPr>
                <w:rFonts w:ascii="Times New Roman"/>
                <w:w w:val="99"/>
                <w:sz w:val="20"/>
              </w:rPr>
              <w:t>7</w:t>
            </w:r>
          </w:p>
        </w:tc>
        <w:tc>
          <w:tcPr>
            <w:tcW w:w="2158" w:type="dxa"/>
          </w:tcPr>
          <w:p>
            <w:pPr>
              <w:pStyle w:val="TableParagraph"/>
              <w:rPr>
                <w:b/>
                <w:sz w:val="19"/>
              </w:rPr>
            </w:pPr>
          </w:p>
          <w:p>
            <w:pPr>
              <w:pStyle w:val="TableParagraph"/>
              <w:ind w:left="667"/>
              <w:rPr>
                <w:sz w:val="20"/>
              </w:rPr>
            </w:pPr>
            <w:r>
              <w:rPr>
                <w:sz w:val="20"/>
              </w:rPr>
              <w:t>质量标准</w:t>
            </w:r>
          </w:p>
        </w:tc>
        <w:tc>
          <w:tcPr>
            <w:tcW w:w="6543" w:type="dxa"/>
          </w:tcPr>
          <w:p>
            <w:pPr>
              <w:pStyle w:val="TableParagraph"/>
              <w:spacing w:before="171"/>
              <w:ind w:left="2"/>
              <w:rPr>
                <w:rFonts w:ascii="黑体" w:eastAsia="黑体" w:hint="eastAsia"/>
                <w:sz w:val="20"/>
              </w:rPr>
            </w:pPr>
            <w:r>
              <w:rPr>
                <w:rFonts w:ascii="黑体" w:eastAsia="黑体" w:hint="eastAsia"/>
                <w:sz w:val="20"/>
              </w:rPr>
              <w:t>合格，符合国家、行业、地方现行标准规范。</w:t>
            </w:r>
          </w:p>
        </w:tc>
      </w:tr>
      <w:tr>
        <w:trPr>
          <w:trHeight w:val="293" w:hRule="atLeast"/>
        </w:trPr>
        <w:tc>
          <w:tcPr>
            <w:tcW w:w="1168" w:type="dxa"/>
            <w:tcBorders>
              <w:bottom w:val="nil"/>
            </w:tcBorders>
          </w:tcPr>
          <w:p>
            <w:pPr>
              <w:pStyle w:val="TableParagraph"/>
              <w:rPr>
                <w:rFonts w:ascii="Times New Roman"/>
                <w:sz w:val="20"/>
              </w:rPr>
            </w:pPr>
          </w:p>
        </w:tc>
        <w:tc>
          <w:tcPr>
            <w:tcW w:w="2158" w:type="dxa"/>
            <w:tcBorders>
              <w:bottom w:val="nil"/>
            </w:tcBorders>
          </w:tcPr>
          <w:p>
            <w:pPr>
              <w:pStyle w:val="TableParagraph"/>
              <w:rPr>
                <w:rFonts w:ascii="Times New Roman"/>
                <w:sz w:val="20"/>
              </w:rPr>
            </w:pPr>
          </w:p>
        </w:tc>
        <w:tc>
          <w:tcPr>
            <w:tcW w:w="6543" w:type="dxa"/>
            <w:tcBorders>
              <w:bottom w:val="nil"/>
            </w:tcBorders>
          </w:tcPr>
          <w:p>
            <w:pPr>
              <w:pStyle w:val="TableParagraph"/>
              <w:spacing w:line="249" w:lineRule="exact" w:before="24"/>
              <w:ind w:left="2"/>
              <w:rPr>
                <w:rFonts w:ascii="黑体" w:hAnsi="黑体" w:eastAsia="黑体" w:hint="eastAsia"/>
                <w:sz w:val="20"/>
              </w:rPr>
            </w:pPr>
            <w:r>
              <w:rPr>
                <w:rFonts w:ascii="黑体" w:hAnsi="黑体" w:eastAsia="黑体" w:hint="eastAsia"/>
                <w:sz w:val="20"/>
              </w:rPr>
              <w:t>①资质要求：投标人应具有独立法人资格，具有有效的营业执照；</w:t>
            </w:r>
          </w:p>
        </w:tc>
      </w:tr>
      <w:tr>
        <w:trPr>
          <w:trHeight w:val="525" w:hRule="atLeast"/>
        </w:trPr>
        <w:tc>
          <w:tcPr>
            <w:tcW w:w="1168" w:type="dxa"/>
            <w:tcBorders>
              <w:top w:val="nil"/>
              <w:bottom w:val="nil"/>
            </w:tcBorders>
          </w:tcPr>
          <w:p>
            <w:pPr>
              <w:pStyle w:val="TableParagraph"/>
              <w:rPr>
                <w:rFonts w:ascii="Times New Roman"/>
                <w:sz w:val="20"/>
              </w:rPr>
            </w:pPr>
          </w:p>
        </w:tc>
        <w:tc>
          <w:tcPr>
            <w:tcW w:w="2158" w:type="dxa"/>
            <w:tcBorders>
              <w:top w:val="nil"/>
              <w:bottom w:val="nil"/>
            </w:tcBorders>
          </w:tcPr>
          <w:p>
            <w:pPr>
              <w:pStyle w:val="TableParagraph"/>
              <w:rPr>
                <w:rFonts w:ascii="Times New Roman"/>
                <w:sz w:val="20"/>
              </w:rPr>
            </w:pPr>
          </w:p>
        </w:tc>
        <w:tc>
          <w:tcPr>
            <w:tcW w:w="6543" w:type="dxa"/>
            <w:tcBorders>
              <w:top w:val="nil"/>
              <w:bottom w:val="nil"/>
            </w:tcBorders>
          </w:tcPr>
          <w:p>
            <w:pPr>
              <w:pStyle w:val="TableParagraph"/>
              <w:spacing w:line="244" w:lineRule="exact" w:before="16"/>
              <w:ind w:left="2" w:right="4"/>
              <w:rPr>
                <w:rFonts w:ascii="黑体" w:hAnsi="黑体" w:eastAsia="黑体" w:hint="eastAsia"/>
                <w:sz w:val="20"/>
              </w:rPr>
            </w:pPr>
            <w:r>
              <w:rPr>
                <w:rFonts w:ascii="黑体" w:hAnsi="黑体" w:eastAsia="黑体" w:hint="eastAsia"/>
                <w:sz w:val="20"/>
              </w:rPr>
              <w:t>②投标人须具有承装（修、试）电力设施许可证书（承修类和承试类四级及以上）投标人须具备有效的安全生产许可证。</w:t>
            </w:r>
          </w:p>
        </w:tc>
      </w:tr>
      <w:tr>
        <w:trPr>
          <w:trHeight w:val="551" w:hRule="atLeast"/>
        </w:trPr>
        <w:tc>
          <w:tcPr>
            <w:tcW w:w="1168" w:type="dxa"/>
            <w:tcBorders>
              <w:top w:val="nil"/>
              <w:bottom w:val="nil"/>
            </w:tcBorders>
          </w:tcPr>
          <w:p>
            <w:pPr>
              <w:pStyle w:val="TableParagraph"/>
              <w:spacing w:before="11"/>
              <w:rPr>
                <w:b/>
                <w:sz w:val="23"/>
              </w:rPr>
            </w:pPr>
          </w:p>
          <w:p>
            <w:pPr>
              <w:pStyle w:val="TableParagraph"/>
              <w:spacing w:line="225" w:lineRule="exact"/>
              <w:ind w:left="19"/>
              <w:jc w:val="center"/>
              <w:rPr>
                <w:rFonts w:ascii="Times New Roman"/>
                <w:sz w:val="20"/>
              </w:rPr>
            </w:pPr>
            <w:r>
              <w:rPr>
                <w:rFonts w:ascii="Times New Roman"/>
                <w:w w:val="99"/>
                <w:sz w:val="20"/>
              </w:rPr>
              <w:t>8</w:t>
            </w:r>
          </w:p>
        </w:tc>
        <w:tc>
          <w:tcPr>
            <w:tcW w:w="2158" w:type="dxa"/>
            <w:tcBorders>
              <w:top w:val="nil"/>
              <w:bottom w:val="nil"/>
            </w:tcBorders>
          </w:tcPr>
          <w:p>
            <w:pPr>
              <w:pStyle w:val="TableParagraph"/>
              <w:spacing w:before="10"/>
              <w:rPr>
                <w:b/>
                <w:sz w:val="23"/>
              </w:rPr>
            </w:pPr>
          </w:p>
          <w:p>
            <w:pPr>
              <w:pStyle w:val="TableParagraph"/>
              <w:spacing w:line="226" w:lineRule="exact"/>
              <w:ind w:left="26"/>
              <w:rPr>
                <w:rFonts w:ascii="黑体" w:eastAsia="黑体" w:hint="eastAsia"/>
                <w:sz w:val="20"/>
              </w:rPr>
            </w:pPr>
            <w:r>
              <w:rPr>
                <w:rFonts w:ascii="黑体" w:eastAsia="黑体" w:hint="eastAsia"/>
                <w:sz w:val="20"/>
              </w:rPr>
              <w:t>投标人资质条件 、能</w:t>
            </w:r>
          </w:p>
        </w:tc>
        <w:tc>
          <w:tcPr>
            <w:tcW w:w="6543" w:type="dxa"/>
            <w:tcBorders>
              <w:top w:val="nil"/>
              <w:bottom w:val="nil"/>
            </w:tcBorders>
          </w:tcPr>
          <w:p>
            <w:pPr>
              <w:pStyle w:val="TableParagraph"/>
              <w:spacing w:line="230" w:lineRule="auto" w:before="20"/>
              <w:ind w:left="2" w:right="4"/>
              <w:rPr>
                <w:rFonts w:ascii="黑体" w:hAnsi="黑体" w:eastAsia="黑体" w:hint="eastAsia"/>
                <w:sz w:val="20"/>
              </w:rPr>
            </w:pPr>
            <w:r>
              <w:rPr>
                <w:rFonts w:ascii="黑体" w:hAnsi="黑体" w:eastAsia="黑体" w:hint="eastAsia"/>
                <w:sz w:val="20"/>
              </w:rPr>
              <w:t>③财务要求：投标人须具备履行合同的良好财务能力。（提供承诺函， 并对其真实性承担法律责任）</w:t>
            </w:r>
          </w:p>
        </w:tc>
      </w:tr>
      <w:tr>
        <w:trPr>
          <w:trHeight w:val="1485" w:hRule="atLeast"/>
        </w:trPr>
        <w:tc>
          <w:tcPr>
            <w:tcW w:w="1168" w:type="dxa"/>
            <w:tcBorders>
              <w:top w:val="nil"/>
              <w:bottom w:val="nil"/>
            </w:tcBorders>
          </w:tcPr>
          <w:p>
            <w:pPr>
              <w:pStyle w:val="TableParagraph"/>
              <w:rPr>
                <w:rFonts w:ascii="Times New Roman"/>
                <w:sz w:val="20"/>
              </w:rPr>
            </w:pPr>
          </w:p>
        </w:tc>
        <w:tc>
          <w:tcPr>
            <w:tcW w:w="2158" w:type="dxa"/>
            <w:tcBorders>
              <w:top w:val="nil"/>
              <w:bottom w:val="nil"/>
            </w:tcBorders>
          </w:tcPr>
          <w:p>
            <w:pPr>
              <w:pStyle w:val="TableParagraph"/>
              <w:spacing w:before="15"/>
              <w:ind w:left="602"/>
              <w:rPr>
                <w:rFonts w:ascii="黑体" w:eastAsia="黑体" w:hint="eastAsia"/>
                <w:sz w:val="20"/>
              </w:rPr>
            </w:pPr>
            <w:r>
              <w:rPr>
                <w:rFonts w:ascii="黑体" w:eastAsia="黑体" w:hint="eastAsia"/>
                <w:sz w:val="20"/>
              </w:rPr>
              <w:t>力、信誉</w:t>
            </w:r>
          </w:p>
        </w:tc>
        <w:tc>
          <w:tcPr>
            <w:tcW w:w="6543" w:type="dxa"/>
            <w:tcBorders>
              <w:top w:val="nil"/>
              <w:bottom w:val="nil"/>
            </w:tcBorders>
          </w:tcPr>
          <w:p>
            <w:pPr>
              <w:pStyle w:val="TableParagraph"/>
              <w:spacing w:line="230" w:lineRule="auto"/>
              <w:ind w:left="2" w:right="6"/>
              <w:jc w:val="both"/>
              <w:rPr>
                <w:rFonts w:ascii="黑体" w:hAnsi="黑体" w:eastAsia="黑体" w:hint="eastAsia"/>
                <w:sz w:val="20"/>
              </w:rPr>
            </w:pPr>
            <w:r>
              <w:rPr>
                <w:rFonts w:ascii="黑体" w:hAnsi="黑体" w:eastAsia="黑体" w:hint="eastAsia"/>
                <w:sz w:val="20"/>
              </w:rPr>
              <w:t>④信誉要求：投标人在“ 中国执行信息公开网 ”系统中未被列入失信被 执 行 人 名 单 ； 投 标 人 在 “ 信 用 中 国 ” （ http</w:t>
            </w:r>
          </w:p>
          <w:p>
            <w:pPr>
              <w:pStyle w:val="TableParagraph"/>
              <w:spacing w:line="230" w:lineRule="auto"/>
              <w:ind w:left="2" w:right="3"/>
              <w:jc w:val="both"/>
              <w:rPr>
                <w:rFonts w:ascii="黑体" w:eastAsia="黑体" w:hint="eastAsia"/>
                <w:sz w:val="20"/>
              </w:rPr>
            </w:pPr>
            <w:r>
              <w:rPr>
                <w:rFonts w:ascii="黑体" w:eastAsia="黑体" w:hint="eastAsia"/>
                <w:spacing w:val="5"/>
                <w:sz w:val="20"/>
              </w:rPr>
              <w:t>://</w:t>
            </w:r>
            <w:hyperlink r:id="rId14">
              <w:r>
                <w:rPr>
                  <w:rFonts w:ascii="黑体" w:eastAsia="黑体" w:hint="eastAsia"/>
                  <w:spacing w:val="5"/>
                  <w:sz w:val="20"/>
                </w:rPr>
                <w:t>www.creditchina.gov.cn/</w:t>
              </w:r>
              <w:r>
                <w:rPr>
                  <w:rFonts w:ascii="黑体" w:eastAsia="黑体" w:hint="eastAsia"/>
                  <w:spacing w:val="-80"/>
                  <w:sz w:val="20"/>
                </w:rPr>
                <w:t> </w:t>
              </w:r>
            </w:hyperlink>
            <w:r>
              <w:rPr>
                <w:rFonts w:ascii="黑体" w:eastAsia="黑体" w:hint="eastAsia"/>
                <w:sz w:val="20"/>
              </w:rPr>
              <w:t>）</w:t>
            </w:r>
            <w:r>
              <w:rPr>
                <w:rFonts w:ascii="黑体" w:eastAsia="黑体" w:hint="eastAsia"/>
                <w:spacing w:val="10"/>
                <w:sz w:val="20"/>
              </w:rPr>
              <w:t> 系统中查询重大税收违法失信名单； </w:t>
            </w:r>
            <w:r>
              <w:rPr>
                <w:rFonts w:ascii="黑体" w:eastAsia="黑体" w:hint="eastAsia"/>
                <w:spacing w:val="5"/>
                <w:sz w:val="20"/>
              </w:rPr>
              <w:t>国家企业信用信息公示系统</w:t>
            </w:r>
            <w:r>
              <w:rPr>
                <w:rFonts w:ascii="黑体" w:eastAsia="黑体" w:hint="eastAsia"/>
                <w:spacing w:val="6"/>
                <w:sz w:val="20"/>
              </w:rPr>
              <w:t>（http：//</w:t>
            </w:r>
            <w:hyperlink r:id="rId7">
              <w:r>
                <w:rPr>
                  <w:rFonts w:ascii="黑体" w:eastAsia="黑体" w:hint="eastAsia"/>
                  <w:spacing w:val="6"/>
                  <w:sz w:val="20"/>
                </w:rPr>
                <w:t>www.gsxt.gov.cn/</w:t>
              </w:r>
            </w:hyperlink>
            <w:r>
              <w:rPr>
                <w:rFonts w:ascii="黑体" w:eastAsia="黑体" w:hint="eastAsia"/>
                <w:spacing w:val="6"/>
                <w:sz w:val="20"/>
              </w:rPr>
              <w:t>）</w:t>
            </w:r>
            <w:r>
              <w:rPr>
                <w:rFonts w:ascii="黑体" w:eastAsia="黑体" w:hint="eastAsia"/>
                <w:spacing w:val="3"/>
                <w:sz w:val="20"/>
              </w:rPr>
              <w:t>未被列入严</w:t>
            </w:r>
            <w:r>
              <w:rPr>
                <w:rFonts w:ascii="黑体" w:eastAsia="黑体" w:hint="eastAsia"/>
                <w:spacing w:val="10"/>
                <w:w w:val="95"/>
                <w:sz w:val="20"/>
              </w:rPr>
              <w:t>重违法失信名单</w:t>
            </w:r>
            <w:r>
              <w:rPr>
                <w:rFonts w:ascii="黑体" w:eastAsia="黑体" w:hint="eastAsia"/>
                <w:spacing w:val="7"/>
                <w:w w:val="95"/>
                <w:sz w:val="20"/>
              </w:rPr>
              <w:t>（</w:t>
            </w:r>
            <w:r>
              <w:rPr>
                <w:rFonts w:ascii="黑体" w:eastAsia="黑体" w:hint="eastAsia"/>
                <w:spacing w:val="10"/>
                <w:w w:val="95"/>
                <w:sz w:val="20"/>
              </w:rPr>
              <w:t>黑名单）信息（</w:t>
            </w:r>
            <w:r>
              <w:rPr>
                <w:rFonts w:ascii="黑体" w:eastAsia="黑体" w:hint="eastAsia"/>
                <w:spacing w:val="8"/>
                <w:w w:val="95"/>
                <w:sz w:val="20"/>
              </w:rPr>
              <w:t>投标文件中无需提供相关截图，以开</w:t>
            </w:r>
          </w:p>
          <w:p>
            <w:pPr>
              <w:pStyle w:val="TableParagraph"/>
              <w:spacing w:line="241" w:lineRule="exact"/>
              <w:ind w:left="2"/>
              <w:jc w:val="both"/>
              <w:rPr>
                <w:rFonts w:ascii="黑体" w:eastAsia="黑体" w:hint="eastAsia"/>
                <w:sz w:val="20"/>
              </w:rPr>
            </w:pPr>
            <w:r>
              <w:rPr>
                <w:rFonts w:ascii="黑体" w:eastAsia="黑体" w:hint="eastAsia"/>
                <w:sz w:val="20"/>
              </w:rPr>
              <w:t>标现场查询为准）</w:t>
            </w:r>
          </w:p>
        </w:tc>
      </w:tr>
      <w:tr>
        <w:trPr>
          <w:trHeight w:val="279" w:hRule="atLeast"/>
        </w:trPr>
        <w:tc>
          <w:tcPr>
            <w:tcW w:w="1168" w:type="dxa"/>
            <w:tcBorders>
              <w:top w:val="nil"/>
              <w:bottom w:val="nil"/>
            </w:tcBorders>
          </w:tcPr>
          <w:p>
            <w:pPr>
              <w:pStyle w:val="TableParagraph"/>
              <w:rPr>
                <w:rFonts w:ascii="Times New Roman"/>
                <w:sz w:val="20"/>
              </w:rPr>
            </w:pPr>
          </w:p>
        </w:tc>
        <w:tc>
          <w:tcPr>
            <w:tcW w:w="2158" w:type="dxa"/>
            <w:tcBorders>
              <w:top w:val="nil"/>
              <w:bottom w:val="nil"/>
            </w:tcBorders>
          </w:tcPr>
          <w:p>
            <w:pPr>
              <w:pStyle w:val="TableParagraph"/>
              <w:rPr>
                <w:rFonts w:ascii="Times New Roman"/>
                <w:sz w:val="20"/>
              </w:rPr>
            </w:pPr>
          </w:p>
        </w:tc>
        <w:tc>
          <w:tcPr>
            <w:tcW w:w="6543" w:type="dxa"/>
            <w:tcBorders>
              <w:top w:val="nil"/>
              <w:bottom w:val="nil"/>
            </w:tcBorders>
          </w:tcPr>
          <w:p>
            <w:pPr>
              <w:pStyle w:val="TableParagraph"/>
              <w:spacing w:line="249" w:lineRule="exact" w:before="10"/>
              <w:ind w:left="2"/>
              <w:rPr>
                <w:rFonts w:ascii="黑体" w:hAnsi="黑体" w:eastAsia="黑体" w:hint="eastAsia"/>
                <w:sz w:val="20"/>
              </w:rPr>
            </w:pPr>
            <w:r>
              <w:rPr>
                <w:rFonts w:ascii="黑体" w:hAnsi="黑体" w:eastAsia="黑体" w:hint="eastAsia"/>
                <w:sz w:val="20"/>
              </w:rPr>
              <w:t>⑤其他要求：</w:t>
            </w:r>
          </w:p>
        </w:tc>
      </w:tr>
      <w:tr>
        <w:trPr>
          <w:trHeight w:val="1018" w:hRule="atLeast"/>
        </w:trPr>
        <w:tc>
          <w:tcPr>
            <w:tcW w:w="1168" w:type="dxa"/>
            <w:tcBorders>
              <w:top w:val="nil"/>
              <w:bottom w:val="nil"/>
            </w:tcBorders>
          </w:tcPr>
          <w:p>
            <w:pPr>
              <w:pStyle w:val="TableParagraph"/>
              <w:rPr>
                <w:rFonts w:ascii="Times New Roman"/>
                <w:sz w:val="20"/>
              </w:rPr>
            </w:pPr>
          </w:p>
        </w:tc>
        <w:tc>
          <w:tcPr>
            <w:tcW w:w="2158" w:type="dxa"/>
            <w:tcBorders>
              <w:top w:val="nil"/>
              <w:bottom w:val="nil"/>
            </w:tcBorders>
          </w:tcPr>
          <w:p>
            <w:pPr>
              <w:pStyle w:val="TableParagraph"/>
              <w:rPr>
                <w:rFonts w:ascii="Times New Roman"/>
                <w:sz w:val="20"/>
              </w:rPr>
            </w:pPr>
          </w:p>
        </w:tc>
        <w:tc>
          <w:tcPr>
            <w:tcW w:w="6543" w:type="dxa"/>
            <w:tcBorders>
              <w:top w:val="nil"/>
              <w:bottom w:val="nil"/>
            </w:tcBorders>
          </w:tcPr>
          <w:p>
            <w:pPr>
              <w:pStyle w:val="TableParagraph"/>
              <w:spacing w:line="230" w:lineRule="auto" w:before="20"/>
              <w:ind w:left="2" w:right="3"/>
              <w:jc w:val="both"/>
              <w:rPr>
                <w:rFonts w:ascii="黑体" w:eastAsia="黑体" w:hint="eastAsia"/>
                <w:sz w:val="20"/>
              </w:rPr>
            </w:pPr>
            <w:r>
              <w:rPr>
                <w:rFonts w:ascii="黑体" w:eastAsia="黑体" w:hint="eastAsia"/>
                <w:sz w:val="20"/>
              </w:rPr>
              <w:t>5.1 与招标人存在利害关系可能影响招标公正性的法人、其他组织或者个人，不得参加投标；单位负责人为同一人或者存在控股、管理关系的不同单位，不得参加同一标段投标或者未划分标段的同一招标项目投标</w:t>
            </w:r>
          </w:p>
          <w:p>
            <w:pPr>
              <w:pStyle w:val="TableParagraph"/>
              <w:spacing w:line="241" w:lineRule="exact"/>
              <w:ind w:left="2"/>
              <w:jc w:val="both"/>
              <w:rPr>
                <w:rFonts w:ascii="黑体" w:eastAsia="黑体" w:hint="eastAsia"/>
                <w:sz w:val="20"/>
              </w:rPr>
            </w:pPr>
            <w:r>
              <w:rPr>
                <w:rFonts w:ascii="黑体" w:eastAsia="黑体" w:hint="eastAsia"/>
                <w:w w:val="99"/>
                <w:sz w:val="20"/>
              </w:rPr>
              <w:t>。</w:t>
            </w:r>
          </w:p>
        </w:tc>
      </w:tr>
      <w:tr>
        <w:trPr>
          <w:trHeight w:val="279" w:hRule="atLeast"/>
        </w:trPr>
        <w:tc>
          <w:tcPr>
            <w:tcW w:w="1168" w:type="dxa"/>
            <w:tcBorders>
              <w:top w:val="nil"/>
              <w:bottom w:val="nil"/>
            </w:tcBorders>
          </w:tcPr>
          <w:p>
            <w:pPr>
              <w:pStyle w:val="TableParagraph"/>
              <w:rPr>
                <w:rFonts w:ascii="Times New Roman"/>
                <w:sz w:val="20"/>
              </w:rPr>
            </w:pPr>
          </w:p>
        </w:tc>
        <w:tc>
          <w:tcPr>
            <w:tcW w:w="2158" w:type="dxa"/>
            <w:tcBorders>
              <w:top w:val="nil"/>
              <w:bottom w:val="nil"/>
            </w:tcBorders>
          </w:tcPr>
          <w:p>
            <w:pPr>
              <w:pStyle w:val="TableParagraph"/>
              <w:rPr>
                <w:rFonts w:ascii="Times New Roman"/>
                <w:sz w:val="20"/>
              </w:rPr>
            </w:pPr>
          </w:p>
        </w:tc>
        <w:tc>
          <w:tcPr>
            <w:tcW w:w="6543" w:type="dxa"/>
            <w:tcBorders>
              <w:top w:val="nil"/>
              <w:bottom w:val="nil"/>
            </w:tcBorders>
          </w:tcPr>
          <w:p>
            <w:pPr>
              <w:pStyle w:val="TableParagraph"/>
              <w:spacing w:line="249" w:lineRule="exact" w:before="10"/>
              <w:ind w:left="2"/>
              <w:rPr>
                <w:rFonts w:ascii="黑体" w:eastAsia="黑体" w:hint="eastAsia"/>
                <w:sz w:val="20"/>
              </w:rPr>
            </w:pPr>
            <w:r>
              <w:rPr>
                <w:rFonts w:ascii="黑体" w:eastAsia="黑体" w:hint="eastAsia"/>
                <w:sz w:val="20"/>
              </w:rPr>
              <w:t>5.2 本次招标不接受联合体投标。</w:t>
            </w:r>
          </w:p>
        </w:tc>
      </w:tr>
      <w:tr>
        <w:trPr>
          <w:trHeight w:val="512" w:hRule="atLeast"/>
        </w:trPr>
        <w:tc>
          <w:tcPr>
            <w:tcW w:w="1168" w:type="dxa"/>
            <w:tcBorders>
              <w:top w:val="nil"/>
            </w:tcBorders>
          </w:tcPr>
          <w:p>
            <w:pPr>
              <w:pStyle w:val="TableParagraph"/>
              <w:rPr>
                <w:rFonts w:ascii="Times New Roman"/>
                <w:sz w:val="20"/>
              </w:rPr>
            </w:pPr>
          </w:p>
        </w:tc>
        <w:tc>
          <w:tcPr>
            <w:tcW w:w="2158" w:type="dxa"/>
            <w:tcBorders>
              <w:top w:val="nil"/>
            </w:tcBorders>
          </w:tcPr>
          <w:p>
            <w:pPr>
              <w:pStyle w:val="TableParagraph"/>
              <w:rPr>
                <w:rFonts w:ascii="Times New Roman"/>
                <w:sz w:val="20"/>
              </w:rPr>
            </w:pPr>
          </w:p>
        </w:tc>
        <w:tc>
          <w:tcPr>
            <w:tcW w:w="6543" w:type="dxa"/>
            <w:tcBorders>
              <w:top w:val="nil"/>
            </w:tcBorders>
          </w:tcPr>
          <w:p>
            <w:pPr>
              <w:pStyle w:val="TableParagraph"/>
              <w:spacing w:line="244" w:lineRule="exact" w:before="16"/>
              <w:ind w:left="2" w:right="3"/>
              <w:rPr>
                <w:rFonts w:ascii="黑体" w:eastAsia="黑体" w:hint="eastAsia"/>
                <w:sz w:val="20"/>
              </w:rPr>
            </w:pPr>
            <w:r>
              <w:rPr>
                <w:rFonts w:ascii="黑体" w:eastAsia="黑体" w:hint="eastAsia"/>
                <w:sz w:val="20"/>
              </w:rPr>
              <w:t>5.3 所有证明材料如正在办理延期或变更等事宜，需提供相关部门出具的有效证明材料。</w:t>
            </w:r>
          </w:p>
        </w:tc>
      </w:tr>
    </w:tbl>
    <w:p>
      <w:pPr>
        <w:pStyle w:val="BodyText"/>
        <w:spacing w:after="1"/>
        <w:rPr>
          <w:b/>
          <w:sz w:val="9"/>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68"/>
        <w:gridCol w:w="2098"/>
        <w:gridCol w:w="6603"/>
      </w:tblGrid>
      <w:tr>
        <w:trPr>
          <w:trHeight w:val="570" w:hRule="atLeast"/>
        </w:trPr>
        <w:tc>
          <w:tcPr>
            <w:tcW w:w="1168" w:type="dxa"/>
          </w:tcPr>
          <w:p>
            <w:pPr>
              <w:pStyle w:val="TableParagraph"/>
              <w:spacing w:before="120"/>
              <w:ind w:left="15"/>
              <w:jc w:val="center"/>
              <w:rPr>
                <w:rFonts w:ascii="Times New Roman"/>
                <w:sz w:val="20"/>
              </w:rPr>
            </w:pPr>
            <w:r>
              <w:rPr>
                <w:rFonts w:ascii="Times New Roman"/>
                <w:w w:val="99"/>
                <w:sz w:val="20"/>
              </w:rPr>
              <w:t>9</w:t>
            </w:r>
          </w:p>
        </w:tc>
        <w:tc>
          <w:tcPr>
            <w:tcW w:w="2098" w:type="dxa"/>
          </w:tcPr>
          <w:p>
            <w:pPr>
              <w:pStyle w:val="TableParagraph"/>
              <w:spacing w:before="40"/>
              <w:ind w:left="50"/>
              <w:rPr>
                <w:sz w:val="20"/>
              </w:rPr>
            </w:pPr>
            <w:r>
              <w:rPr>
                <w:sz w:val="20"/>
              </w:rPr>
              <w:t>是否接受联合体投标</w:t>
            </w:r>
          </w:p>
        </w:tc>
        <w:tc>
          <w:tcPr>
            <w:tcW w:w="6603" w:type="dxa"/>
          </w:tcPr>
          <w:p>
            <w:pPr>
              <w:pStyle w:val="TableParagraph"/>
              <w:spacing w:before="38"/>
              <w:ind w:left="2"/>
              <w:rPr>
                <w:sz w:val="20"/>
              </w:rPr>
            </w:pPr>
            <w:r>
              <w:rPr>
                <w:rFonts w:ascii="MS Gothic" w:hAnsi="MS Gothic" w:eastAsia="MS Gothic" w:hint="eastAsia"/>
                <w:sz w:val="20"/>
              </w:rPr>
              <w:t>☑</w:t>
            </w:r>
            <w:r>
              <w:rPr>
                <w:sz w:val="20"/>
              </w:rPr>
              <w:t>不接受</w:t>
            </w:r>
          </w:p>
          <w:p>
            <w:pPr>
              <w:pStyle w:val="TableParagraph"/>
              <w:spacing w:line="241" w:lineRule="exact" w:before="15"/>
              <w:ind w:left="2"/>
              <w:rPr>
                <w:sz w:val="20"/>
              </w:rPr>
            </w:pPr>
            <w:r>
              <w:rPr>
                <w:sz w:val="20"/>
              </w:rPr>
              <w:t>□接受，应满足下列要求：</w:t>
            </w:r>
          </w:p>
        </w:tc>
      </w:tr>
    </w:tbl>
    <w:p>
      <w:pPr>
        <w:spacing w:after="0" w:line="241" w:lineRule="exact"/>
        <w:rPr>
          <w:sz w:val="20"/>
        </w:rPr>
        <w:sectPr>
          <w:pgSz w:w="11910" w:h="16840"/>
          <w:pgMar w:header="0" w:footer="690" w:top="1460" w:bottom="960" w:left="1300" w:right="500"/>
        </w:sect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68"/>
        <w:gridCol w:w="2098"/>
        <w:gridCol w:w="6603"/>
      </w:tblGrid>
      <w:tr>
        <w:trPr>
          <w:trHeight w:val="572" w:hRule="atLeast"/>
        </w:trPr>
        <w:tc>
          <w:tcPr>
            <w:tcW w:w="1168" w:type="dxa"/>
          </w:tcPr>
          <w:p>
            <w:pPr>
              <w:pStyle w:val="TableParagraph"/>
              <w:spacing w:before="197"/>
              <w:ind w:left="553"/>
              <w:rPr>
                <w:rFonts w:ascii="Times New Roman"/>
                <w:sz w:val="20"/>
              </w:rPr>
            </w:pPr>
            <w:r>
              <w:rPr>
                <w:rFonts w:ascii="Times New Roman"/>
                <w:sz w:val="20"/>
              </w:rPr>
              <w:t>10</w:t>
            </w:r>
          </w:p>
        </w:tc>
        <w:tc>
          <w:tcPr>
            <w:tcW w:w="2098" w:type="dxa"/>
          </w:tcPr>
          <w:p>
            <w:pPr>
              <w:pStyle w:val="TableParagraph"/>
              <w:spacing w:line="260" w:lineRule="atLeast" w:before="36"/>
              <w:ind w:left="674" w:right="183" w:hanging="627"/>
              <w:rPr>
                <w:sz w:val="20"/>
              </w:rPr>
            </w:pPr>
            <w:r>
              <w:rPr>
                <w:sz w:val="20"/>
              </w:rPr>
              <w:t>投标人不得存在的其他情形</w:t>
            </w:r>
          </w:p>
        </w:tc>
        <w:tc>
          <w:tcPr>
            <w:tcW w:w="6603" w:type="dxa"/>
          </w:tcPr>
          <w:p>
            <w:pPr>
              <w:pStyle w:val="TableParagraph"/>
              <w:rPr>
                <w:b/>
                <w:sz w:val="19"/>
              </w:rPr>
            </w:pPr>
          </w:p>
          <w:p>
            <w:pPr>
              <w:pStyle w:val="TableParagraph"/>
              <w:ind w:left="2"/>
              <w:rPr>
                <w:sz w:val="20"/>
              </w:rPr>
            </w:pPr>
            <w:r>
              <w:rPr>
                <w:w w:val="99"/>
                <w:sz w:val="20"/>
              </w:rPr>
              <w:t>无</w:t>
            </w:r>
          </w:p>
        </w:tc>
      </w:tr>
      <w:tr>
        <w:trPr>
          <w:trHeight w:val="830" w:hRule="atLeast"/>
        </w:trPr>
        <w:tc>
          <w:tcPr>
            <w:tcW w:w="1168" w:type="dxa"/>
          </w:tcPr>
          <w:p>
            <w:pPr>
              <w:pStyle w:val="TableParagraph"/>
              <w:spacing w:before="7"/>
              <w:rPr>
                <w:b/>
                <w:sz w:val="19"/>
              </w:rPr>
            </w:pPr>
          </w:p>
          <w:p>
            <w:pPr>
              <w:pStyle w:val="TableParagraph"/>
              <w:spacing w:before="1"/>
              <w:ind w:left="553"/>
              <w:rPr>
                <w:rFonts w:ascii="Times New Roman"/>
                <w:sz w:val="20"/>
              </w:rPr>
            </w:pPr>
            <w:r>
              <w:rPr>
                <w:rFonts w:ascii="Times New Roman"/>
                <w:sz w:val="20"/>
              </w:rPr>
              <w:t>11</w:t>
            </w:r>
          </w:p>
        </w:tc>
        <w:tc>
          <w:tcPr>
            <w:tcW w:w="2098" w:type="dxa"/>
          </w:tcPr>
          <w:p>
            <w:pPr>
              <w:pStyle w:val="TableParagraph"/>
              <w:spacing w:before="3"/>
              <w:rPr>
                <w:b/>
                <w:sz w:val="23"/>
              </w:rPr>
            </w:pPr>
          </w:p>
          <w:p>
            <w:pPr>
              <w:pStyle w:val="TableParagraph"/>
              <w:ind w:left="225" w:right="228"/>
              <w:jc w:val="center"/>
              <w:rPr>
                <w:sz w:val="20"/>
              </w:rPr>
            </w:pPr>
            <w:r>
              <w:rPr>
                <w:sz w:val="20"/>
              </w:rPr>
              <w:t>踏勘现场</w:t>
            </w:r>
          </w:p>
        </w:tc>
        <w:tc>
          <w:tcPr>
            <w:tcW w:w="6603" w:type="dxa"/>
          </w:tcPr>
          <w:p>
            <w:pPr>
              <w:pStyle w:val="TableParagraph"/>
              <w:spacing w:before="31"/>
              <w:ind w:left="2"/>
              <w:rPr>
                <w:sz w:val="20"/>
              </w:rPr>
            </w:pPr>
            <w:r>
              <w:rPr>
                <w:rFonts w:ascii="MS Gothic" w:hAnsi="MS Gothic" w:eastAsia="MS Gothic" w:hint="eastAsia"/>
                <w:sz w:val="20"/>
              </w:rPr>
              <w:t>☑</w:t>
            </w:r>
            <w:r>
              <w:rPr>
                <w:sz w:val="20"/>
              </w:rPr>
              <w:t>不组织</w:t>
            </w:r>
          </w:p>
          <w:p>
            <w:pPr>
              <w:pStyle w:val="TableParagraph"/>
              <w:spacing w:line="250" w:lineRule="atLeast" w:before="23"/>
              <w:ind w:left="2" w:right="4179"/>
              <w:rPr>
                <w:sz w:val="20"/>
              </w:rPr>
            </w:pPr>
            <w:r>
              <w:rPr>
                <w:sz w:val="20"/>
              </w:rPr>
              <w:t>□组织，踏勘时间： 踏勘集中地点：</w:t>
            </w:r>
          </w:p>
        </w:tc>
      </w:tr>
      <w:tr>
        <w:trPr>
          <w:trHeight w:val="830" w:hRule="atLeast"/>
        </w:trPr>
        <w:tc>
          <w:tcPr>
            <w:tcW w:w="1168" w:type="dxa"/>
          </w:tcPr>
          <w:p>
            <w:pPr>
              <w:pStyle w:val="TableParagraph"/>
              <w:rPr>
                <w:b/>
                <w:sz w:val="24"/>
              </w:rPr>
            </w:pPr>
          </w:p>
          <w:p>
            <w:pPr>
              <w:pStyle w:val="TableParagraph"/>
              <w:ind w:left="553"/>
              <w:rPr>
                <w:rFonts w:ascii="Times New Roman"/>
                <w:sz w:val="20"/>
              </w:rPr>
            </w:pPr>
            <w:r>
              <w:rPr>
                <w:rFonts w:ascii="Times New Roman"/>
                <w:sz w:val="20"/>
              </w:rPr>
              <w:t>12</w:t>
            </w:r>
          </w:p>
        </w:tc>
        <w:tc>
          <w:tcPr>
            <w:tcW w:w="2098" w:type="dxa"/>
          </w:tcPr>
          <w:p>
            <w:pPr>
              <w:pStyle w:val="TableParagraph"/>
              <w:spacing w:before="2"/>
              <w:rPr>
                <w:b/>
                <w:sz w:val="23"/>
              </w:rPr>
            </w:pPr>
          </w:p>
          <w:p>
            <w:pPr>
              <w:pStyle w:val="TableParagraph"/>
              <w:ind w:left="225" w:right="228"/>
              <w:jc w:val="center"/>
              <w:rPr>
                <w:sz w:val="20"/>
              </w:rPr>
            </w:pPr>
            <w:r>
              <w:rPr>
                <w:sz w:val="20"/>
              </w:rPr>
              <w:t>投标预备会</w:t>
            </w:r>
          </w:p>
        </w:tc>
        <w:tc>
          <w:tcPr>
            <w:tcW w:w="6603" w:type="dxa"/>
          </w:tcPr>
          <w:p>
            <w:pPr>
              <w:pStyle w:val="TableParagraph"/>
              <w:spacing w:before="31"/>
              <w:ind w:left="2"/>
              <w:rPr>
                <w:sz w:val="20"/>
              </w:rPr>
            </w:pPr>
            <w:r>
              <w:rPr>
                <w:rFonts w:ascii="MS Gothic" w:hAnsi="MS Gothic" w:eastAsia="MS Gothic" w:hint="eastAsia"/>
                <w:sz w:val="20"/>
              </w:rPr>
              <w:t>☑</w:t>
            </w:r>
            <w:r>
              <w:rPr>
                <w:sz w:val="20"/>
              </w:rPr>
              <w:t>不召开</w:t>
            </w:r>
          </w:p>
          <w:p>
            <w:pPr>
              <w:pStyle w:val="TableParagraph"/>
              <w:spacing w:line="254" w:lineRule="exact" w:before="21"/>
              <w:ind w:left="2" w:right="4177"/>
              <w:rPr>
                <w:sz w:val="20"/>
              </w:rPr>
            </w:pPr>
            <w:r>
              <w:rPr>
                <w:sz w:val="20"/>
              </w:rPr>
              <w:t>□召开，召开时间： 召开地点：</w:t>
            </w:r>
          </w:p>
        </w:tc>
      </w:tr>
      <w:tr>
        <w:trPr>
          <w:trHeight w:val="572" w:hRule="atLeast"/>
        </w:trPr>
        <w:tc>
          <w:tcPr>
            <w:tcW w:w="1168" w:type="dxa"/>
            <w:vMerge w:val="restart"/>
          </w:tcPr>
          <w:p>
            <w:pPr>
              <w:pStyle w:val="TableParagraph"/>
              <w:rPr>
                <w:b/>
                <w:sz w:val="22"/>
              </w:rPr>
            </w:pPr>
          </w:p>
          <w:p>
            <w:pPr>
              <w:pStyle w:val="TableParagraph"/>
              <w:spacing w:before="186"/>
              <w:ind w:left="259" w:right="120"/>
              <w:jc w:val="center"/>
              <w:rPr>
                <w:rFonts w:ascii="Times New Roman"/>
                <w:sz w:val="20"/>
              </w:rPr>
            </w:pPr>
            <w:r>
              <w:rPr>
                <w:rFonts w:ascii="Times New Roman"/>
                <w:sz w:val="20"/>
              </w:rPr>
              <w:t>13</w:t>
            </w:r>
          </w:p>
        </w:tc>
        <w:tc>
          <w:tcPr>
            <w:tcW w:w="2098" w:type="dxa"/>
            <w:vMerge w:val="restart"/>
          </w:tcPr>
          <w:p>
            <w:pPr>
              <w:pStyle w:val="TableParagraph"/>
              <w:spacing w:before="12"/>
              <w:rPr>
                <w:b/>
                <w:sz w:val="25"/>
              </w:rPr>
            </w:pPr>
          </w:p>
          <w:p>
            <w:pPr>
              <w:pStyle w:val="TableParagraph"/>
              <w:spacing w:line="242" w:lineRule="auto"/>
              <w:ind w:left="460" w:right="183" w:hanging="416"/>
              <w:rPr>
                <w:sz w:val="20"/>
              </w:rPr>
            </w:pPr>
            <w:r>
              <w:rPr>
                <w:sz w:val="20"/>
              </w:rPr>
              <w:t>投标人在投标预备会前提出问题</w:t>
            </w:r>
          </w:p>
        </w:tc>
        <w:tc>
          <w:tcPr>
            <w:tcW w:w="6603" w:type="dxa"/>
          </w:tcPr>
          <w:p>
            <w:pPr>
              <w:pStyle w:val="TableParagraph"/>
              <w:spacing w:before="3"/>
              <w:rPr>
                <w:b/>
                <w:sz w:val="18"/>
              </w:rPr>
            </w:pPr>
          </w:p>
          <w:p>
            <w:pPr>
              <w:pStyle w:val="TableParagraph"/>
              <w:ind w:left="2"/>
              <w:rPr>
                <w:rFonts w:ascii="Times New Roman" w:eastAsia="Times New Roman"/>
                <w:sz w:val="20"/>
              </w:rPr>
            </w:pPr>
            <w:r>
              <w:rPr>
                <w:sz w:val="20"/>
              </w:rPr>
              <w:t>时间：</w:t>
            </w:r>
            <w:r>
              <w:rPr>
                <w:rFonts w:ascii="Times New Roman" w:eastAsia="Times New Roman"/>
                <w:sz w:val="20"/>
              </w:rPr>
              <w:t>/</w:t>
            </w:r>
          </w:p>
        </w:tc>
      </w:tr>
      <w:tr>
        <w:trPr>
          <w:trHeight w:val="572" w:hRule="atLeast"/>
        </w:trPr>
        <w:tc>
          <w:tcPr>
            <w:tcW w:w="1168" w:type="dxa"/>
            <w:vMerge/>
            <w:tcBorders>
              <w:top w:val="nil"/>
            </w:tcBorders>
          </w:tcPr>
          <w:p>
            <w:pPr>
              <w:rPr>
                <w:sz w:val="2"/>
                <w:szCs w:val="2"/>
              </w:rPr>
            </w:pPr>
          </w:p>
        </w:tc>
        <w:tc>
          <w:tcPr>
            <w:tcW w:w="2098" w:type="dxa"/>
            <w:vMerge/>
            <w:tcBorders>
              <w:top w:val="nil"/>
            </w:tcBorders>
          </w:tcPr>
          <w:p>
            <w:pPr>
              <w:rPr>
                <w:sz w:val="2"/>
                <w:szCs w:val="2"/>
              </w:rPr>
            </w:pPr>
          </w:p>
        </w:tc>
        <w:tc>
          <w:tcPr>
            <w:tcW w:w="6603" w:type="dxa"/>
          </w:tcPr>
          <w:p>
            <w:pPr>
              <w:pStyle w:val="TableParagraph"/>
              <w:spacing w:before="8"/>
              <w:rPr>
                <w:b/>
                <w:sz w:val="17"/>
              </w:rPr>
            </w:pPr>
          </w:p>
          <w:p>
            <w:pPr>
              <w:pStyle w:val="TableParagraph"/>
              <w:ind w:left="2"/>
              <w:rPr>
                <w:rFonts w:ascii="Times New Roman" w:eastAsia="Times New Roman"/>
                <w:sz w:val="20"/>
              </w:rPr>
            </w:pPr>
            <w:r>
              <w:rPr>
                <w:sz w:val="20"/>
              </w:rPr>
              <w:t>形式：</w:t>
            </w:r>
            <w:r>
              <w:rPr>
                <w:rFonts w:ascii="Times New Roman" w:eastAsia="Times New Roman"/>
                <w:sz w:val="20"/>
              </w:rPr>
              <w:t>/</w:t>
            </w:r>
          </w:p>
        </w:tc>
      </w:tr>
      <w:tr>
        <w:trPr>
          <w:trHeight w:val="572" w:hRule="atLeast"/>
        </w:trPr>
        <w:tc>
          <w:tcPr>
            <w:tcW w:w="1168" w:type="dxa"/>
          </w:tcPr>
          <w:p>
            <w:pPr>
              <w:pStyle w:val="TableParagraph"/>
              <w:spacing w:before="180"/>
              <w:ind w:left="553"/>
              <w:rPr>
                <w:rFonts w:ascii="Times New Roman"/>
                <w:sz w:val="20"/>
              </w:rPr>
            </w:pPr>
            <w:r>
              <w:rPr>
                <w:rFonts w:ascii="Times New Roman"/>
                <w:sz w:val="20"/>
              </w:rPr>
              <w:t>14</w:t>
            </w:r>
          </w:p>
        </w:tc>
        <w:tc>
          <w:tcPr>
            <w:tcW w:w="2098" w:type="dxa"/>
          </w:tcPr>
          <w:p>
            <w:pPr>
              <w:pStyle w:val="TableParagraph"/>
              <w:spacing w:line="260" w:lineRule="atLeast" w:before="36"/>
              <w:ind w:left="777" w:right="183" w:hanging="728"/>
              <w:rPr>
                <w:sz w:val="20"/>
              </w:rPr>
            </w:pPr>
            <w:r>
              <w:rPr>
                <w:sz w:val="20"/>
              </w:rPr>
              <w:t>招标文件澄清发出的形式</w:t>
            </w:r>
          </w:p>
        </w:tc>
        <w:tc>
          <w:tcPr>
            <w:tcW w:w="6603" w:type="dxa"/>
          </w:tcPr>
          <w:p>
            <w:pPr>
              <w:pStyle w:val="TableParagraph"/>
              <w:rPr>
                <w:b/>
                <w:sz w:val="19"/>
              </w:rPr>
            </w:pPr>
          </w:p>
          <w:p>
            <w:pPr>
              <w:pStyle w:val="TableParagraph"/>
              <w:ind w:left="2"/>
              <w:rPr>
                <w:sz w:val="20"/>
              </w:rPr>
            </w:pPr>
            <w:r>
              <w:rPr>
                <w:sz w:val="20"/>
              </w:rPr>
              <w:t>通过招标通电子招投标交易平台（https://</w:t>
            </w:r>
            <w:hyperlink r:id="rId15">
              <w:r>
                <w:rPr>
                  <w:sz w:val="20"/>
                </w:rPr>
                <w:t>www.hebztb.com/发出</w:t>
              </w:r>
            </w:hyperlink>
            <w:r>
              <w:rPr>
                <w:sz w:val="20"/>
              </w:rPr>
              <w:t>。</w:t>
            </w:r>
          </w:p>
        </w:tc>
      </w:tr>
      <w:tr>
        <w:trPr>
          <w:trHeight w:val="832" w:hRule="atLeast"/>
        </w:trPr>
        <w:tc>
          <w:tcPr>
            <w:tcW w:w="1168" w:type="dxa"/>
          </w:tcPr>
          <w:p>
            <w:pPr>
              <w:pStyle w:val="TableParagraph"/>
              <w:spacing w:before="8"/>
              <w:rPr>
                <w:b/>
                <w:sz w:val="24"/>
              </w:rPr>
            </w:pPr>
          </w:p>
          <w:p>
            <w:pPr>
              <w:pStyle w:val="TableParagraph"/>
              <w:spacing w:before="1"/>
              <w:ind w:left="491"/>
              <w:rPr>
                <w:rFonts w:ascii="Times New Roman"/>
                <w:sz w:val="20"/>
              </w:rPr>
            </w:pPr>
            <w:r>
              <w:rPr>
                <w:rFonts w:ascii="Times New Roman"/>
                <w:sz w:val="20"/>
              </w:rPr>
              <w:t>15</w:t>
            </w:r>
          </w:p>
        </w:tc>
        <w:tc>
          <w:tcPr>
            <w:tcW w:w="2098" w:type="dxa"/>
          </w:tcPr>
          <w:p>
            <w:pPr>
              <w:pStyle w:val="TableParagraph"/>
              <w:spacing w:before="10"/>
              <w:rPr>
                <w:b/>
                <w:sz w:val="24"/>
              </w:rPr>
            </w:pPr>
          </w:p>
          <w:p>
            <w:pPr>
              <w:pStyle w:val="TableParagraph"/>
              <w:ind w:left="225" w:right="225"/>
              <w:jc w:val="center"/>
              <w:rPr>
                <w:sz w:val="20"/>
              </w:rPr>
            </w:pPr>
            <w:r>
              <w:rPr>
                <w:sz w:val="20"/>
              </w:rPr>
              <w:t>偏差</w:t>
            </w:r>
          </w:p>
        </w:tc>
        <w:tc>
          <w:tcPr>
            <w:tcW w:w="6603" w:type="dxa"/>
          </w:tcPr>
          <w:p>
            <w:pPr>
              <w:pStyle w:val="TableParagraph"/>
              <w:spacing w:line="255" w:lineRule="exact" w:before="29"/>
              <w:ind w:left="2"/>
              <w:rPr>
                <w:sz w:val="20"/>
              </w:rPr>
            </w:pPr>
            <w:r>
              <w:rPr>
                <w:rFonts w:ascii="MS Gothic" w:hAnsi="MS Gothic" w:eastAsia="MS Gothic" w:hint="eastAsia"/>
                <w:sz w:val="20"/>
              </w:rPr>
              <w:t>☑</w:t>
            </w:r>
            <w:r>
              <w:rPr>
                <w:sz w:val="20"/>
              </w:rPr>
              <w:t>不允许</w:t>
            </w:r>
          </w:p>
          <w:p>
            <w:pPr>
              <w:pStyle w:val="TableParagraph"/>
              <w:spacing w:line="255" w:lineRule="exact"/>
              <w:ind w:left="2"/>
              <w:rPr>
                <w:sz w:val="20"/>
              </w:rPr>
            </w:pPr>
            <w:r>
              <w:rPr>
                <w:sz w:val="20"/>
              </w:rPr>
              <w:t>□ 允许， 偏差范围： </w:t>
            </w:r>
            <w:r>
              <w:rPr>
                <w:rFonts w:ascii="Times New Roman" w:hAnsi="Times New Roman" w:eastAsia="Times New Roman"/>
                <w:sz w:val="20"/>
              </w:rPr>
              <w:t>/ </w:t>
            </w:r>
            <w:r>
              <w:rPr>
                <w:sz w:val="20"/>
              </w:rPr>
              <w:t>偏差</w:t>
            </w:r>
          </w:p>
          <w:p>
            <w:pPr>
              <w:pStyle w:val="TableParagraph"/>
              <w:spacing w:before="15"/>
              <w:ind w:left="2"/>
              <w:rPr>
                <w:rFonts w:ascii="Times New Roman" w:eastAsia="Times New Roman"/>
                <w:sz w:val="20"/>
              </w:rPr>
            </w:pPr>
            <w:r>
              <w:rPr>
                <w:sz w:val="20"/>
              </w:rPr>
              <w:t>幅度：</w:t>
            </w:r>
            <w:r>
              <w:rPr>
                <w:rFonts w:ascii="Times New Roman" w:eastAsia="Times New Roman"/>
                <w:sz w:val="20"/>
              </w:rPr>
              <w:t>/</w:t>
            </w:r>
          </w:p>
        </w:tc>
      </w:tr>
      <w:tr>
        <w:trPr>
          <w:trHeight w:val="571" w:hRule="atLeast"/>
        </w:trPr>
        <w:tc>
          <w:tcPr>
            <w:tcW w:w="1168" w:type="dxa"/>
          </w:tcPr>
          <w:p>
            <w:pPr>
              <w:pStyle w:val="TableParagraph"/>
              <w:spacing w:before="180"/>
              <w:ind w:left="553"/>
              <w:rPr>
                <w:rFonts w:ascii="Times New Roman"/>
                <w:sz w:val="20"/>
              </w:rPr>
            </w:pPr>
            <w:r>
              <w:rPr>
                <w:rFonts w:ascii="Times New Roman"/>
                <w:sz w:val="20"/>
              </w:rPr>
              <w:t>16</w:t>
            </w:r>
          </w:p>
        </w:tc>
        <w:tc>
          <w:tcPr>
            <w:tcW w:w="2098" w:type="dxa"/>
          </w:tcPr>
          <w:p>
            <w:pPr>
              <w:pStyle w:val="TableParagraph"/>
              <w:spacing w:line="260" w:lineRule="atLeast" w:before="38"/>
              <w:ind w:left="772" w:right="183" w:hanging="728"/>
              <w:rPr>
                <w:sz w:val="20"/>
              </w:rPr>
            </w:pPr>
            <w:r>
              <w:rPr>
                <w:sz w:val="20"/>
              </w:rPr>
              <w:t>构成招标文件的其他资料</w:t>
            </w:r>
          </w:p>
        </w:tc>
        <w:tc>
          <w:tcPr>
            <w:tcW w:w="6603" w:type="dxa"/>
          </w:tcPr>
          <w:p>
            <w:pPr>
              <w:pStyle w:val="TableParagraph"/>
              <w:rPr>
                <w:b/>
                <w:sz w:val="19"/>
              </w:rPr>
            </w:pPr>
          </w:p>
          <w:p>
            <w:pPr>
              <w:pStyle w:val="TableParagraph"/>
              <w:ind w:left="2"/>
              <w:rPr>
                <w:sz w:val="20"/>
              </w:rPr>
            </w:pPr>
            <w:r>
              <w:rPr>
                <w:sz w:val="20"/>
              </w:rPr>
              <w:t>补遗书和澄清文件</w:t>
            </w:r>
          </w:p>
        </w:tc>
      </w:tr>
      <w:tr>
        <w:trPr>
          <w:trHeight w:val="1382" w:hRule="atLeast"/>
        </w:trPr>
        <w:tc>
          <w:tcPr>
            <w:tcW w:w="1168" w:type="dxa"/>
          </w:tcPr>
          <w:p>
            <w:pPr>
              <w:pStyle w:val="TableParagraph"/>
              <w:rPr>
                <w:b/>
                <w:sz w:val="22"/>
              </w:rPr>
            </w:pPr>
          </w:p>
          <w:p>
            <w:pPr>
              <w:pStyle w:val="TableParagraph"/>
              <w:spacing w:before="10"/>
              <w:rPr>
                <w:b/>
                <w:sz w:val="23"/>
              </w:rPr>
            </w:pPr>
          </w:p>
          <w:p>
            <w:pPr>
              <w:pStyle w:val="TableParagraph"/>
              <w:ind w:left="553"/>
              <w:rPr>
                <w:rFonts w:ascii="Times New Roman"/>
                <w:sz w:val="20"/>
              </w:rPr>
            </w:pPr>
            <w:r>
              <w:rPr>
                <w:rFonts w:ascii="Times New Roman"/>
                <w:sz w:val="20"/>
              </w:rPr>
              <w:t>17</w:t>
            </w:r>
          </w:p>
        </w:tc>
        <w:tc>
          <w:tcPr>
            <w:tcW w:w="2098" w:type="dxa"/>
          </w:tcPr>
          <w:p>
            <w:pPr>
              <w:pStyle w:val="TableParagraph"/>
              <w:rPr>
                <w:b/>
                <w:sz w:val="20"/>
              </w:rPr>
            </w:pPr>
          </w:p>
          <w:p>
            <w:pPr>
              <w:pStyle w:val="TableParagraph"/>
              <w:spacing w:before="5"/>
              <w:rPr>
                <w:b/>
                <w:sz w:val="24"/>
              </w:rPr>
            </w:pPr>
          </w:p>
          <w:p>
            <w:pPr>
              <w:pStyle w:val="TableParagraph"/>
              <w:spacing w:line="244" w:lineRule="auto"/>
              <w:ind w:left="772" w:right="183" w:hanging="728"/>
              <w:rPr>
                <w:sz w:val="20"/>
              </w:rPr>
            </w:pPr>
            <w:r>
              <w:rPr>
                <w:sz w:val="20"/>
              </w:rPr>
              <w:t>投标人要求澄清招标文件</w:t>
            </w:r>
          </w:p>
        </w:tc>
        <w:tc>
          <w:tcPr>
            <w:tcW w:w="6603" w:type="dxa"/>
          </w:tcPr>
          <w:p>
            <w:pPr>
              <w:pStyle w:val="TableParagraph"/>
              <w:spacing w:line="244" w:lineRule="auto" w:before="173"/>
              <w:ind w:left="2" w:right="130"/>
              <w:rPr>
                <w:sz w:val="20"/>
              </w:rPr>
            </w:pPr>
            <w:r>
              <w:rPr>
                <w:sz w:val="20"/>
              </w:rPr>
              <w:t>投标人应仔细阅读和检查招标文件的全部内容。如有疑问，应在 投标截止时间 </w:t>
            </w:r>
            <w:r>
              <w:rPr>
                <w:rFonts w:ascii="Times New Roman" w:eastAsia="Times New Roman"/>
                <w:sz w:val="20"/>
              </w:rPr>
              <w:t>10 </w:t>
            </w:r>
            <w:r>
              <w:rPr>
                <w:sz w:val="20"/>
              </w:rPr>
              <w:t>日前。</w:t>
            </w:r>
          </w:p>
          <w:p>
            <w:pPr>
              <w:pStyle w:val="TableParagraph"/>
              <w:spacing w:line="244" w:lineRule="auto" w:before="27"/>
              <w:ind w:left="2" w:right="140"/>
              <w:rPr>
                <w:sz w:val="20"/>
              </w:rPr>
            </w:pPr>
            <w:r>
              <w:rPr>
                <w:sz w:val="20"/>
              </w:rPr>
              <w:t>各投标人应随时关注参与项目信息并及时登录上述电子招投标交 易平台下载电子版各类澄清答疑，否则所造成的一切后果由投标人自 负。</w:t>
            </w:r>
          </w:p>
        </w:tc>
      </w:tr>
      <w:tr>
        <w:trPr>
          <w:trHeight w:val="572" w:hRule="atLeast"/>
        </w:trPr>
        <w:tc>
          <w:tcPr>
            <w:tcW w:w="1168" w:type="dxa"/>
          </w:tcPr>
          <w:p>
            <w:pPr>
              <w:pStyle w:val="TableParagraph"/>
              <w:spacing w:before="183"/>
              <w:ind w:left="553"/>
              <w:rPr>
                <w:rFonts w:ascii="Times New Roman"/>
                <w:sz w:val="20"/>
              </w:rPr>
            </w:pPr>
            <w:r>
              <w:rPr>
                <w:rFonts w:ascii="Times New Roman"/>
                <w:sz w:val="20"/>
              </w:rPr>
              <w:t>18</w:t>
            </w:r>
          </w:p>
        </w:tc>
        <w:tc>
          <w:tcPr>
            <w:tcW w:w="2098" w:type="dxa"/>
          </w:tcPr>
          <w:p>
            <w:pPr>
              <w:pStyle w:val="TableParagraph"/>
              <w:spacing w:line="250" w:lineRule="atLeast" w:before="45"/>
              <w:ind w:left="777" w:right="183" w:hanging="728"/>
              <w:rPr>
                <w:sz w:val="20"/>
              </w:rPr>
            </w:pPr>
            <w:r>
              <w:rPr>
                <w:sz w:val="20"/>
              </w:rPr>
              <w:t>招标文件澄清发出的形式</w:t>
            </w:r>
          </w:p>
        </w:tc>
        <w:tc>
          <w:tcPr>
            <w:tcW w:w="6603" w:type="dxa"/>
          </w:tcPr>
          <w:p>
            <w:pPr>
              <w:pStyle w:val="TableParagraph"/>
              <w:rPr>
                <w:b/>
                <w:sz w:val="19"/>
              </w:rPr>
            </w:pPr>
          </w:p>
          <w:p>
            <w:pPr>
              <w:pStyle w:val="TableParagraph"/>
              <w:spacing w:before="1"/>
              <w:ind w:left="2"/>
              <w:rPr>
                <w:sz w:val="20"/>
              </w:rPr>
            </w:pPr>
            <w:r>
              <w:rPr>
                <w:sz w:val="20"/>
              </w:rPr>
              <w:t>形式：通过上述电子招投标交易平台提交</w:t>
            </w:r>
          </w:p>
        </w:tc>
      </w:tr>
      <w:tr>
        <w:trPr>
          <w:trHeight w:val="831" w:hRule="atLeast"/>
        </w:trPr>
        <w:tc>
          <w:tcPr>
            <w:tcW w:w="1168" w:type="dxa"/>
          </w:tcPr>
          <w:p>
            <w:pPr>
              <w:pStyle w:val="TableParagraph"/>
              <w:spacing w:before="4"/>
              <w:rPr>
                <w:b/>
                <w:sz w:val="24"/>
              </w:rPr>
            </w:pPr>
          </w:p>
          <w:p>
            <w:pPr>
              <w:pStyle w:val="TableParagraph"/>
              <w:ind w:left="553"/>
              <w:rPr>
                <w:rFonts w:ascii="Times New Roman"/>
                <w:sz w:val="20"/>
              </w:rPr>
            </w:pPr>
            <w:r>
              <w:rPr>
                <w:rFonts w:ascii="Times New Roman"/>
                <w:sz w:val="20"/>
              </w:rPr>
              <w:t>19</w:t>
            </w:r>
          </w:p>
        </w:tc>
        <w:tc>
          <w:tcPr>
            <w:tcW w:w="2098" w:type="dxa"/>
          </w:tcPr>
          <w:p>
            <w:pPr>
              <w:pStyle w:val="TableParagraph"/>
              <w:spacing w:line="244" w:lineRule="auto" w:before="171"/>
              <w:ind w:left="564" w:right="183" w:hanging="519"/>
              <w:rPr>
                <w:sz w:val="20"/>
              </w:rPr>
            </w:pPr>
            <w:r>
              <w:rPr>
                <w:sz w:val="20"/>
              </w:rPr>
              <w:t>投标人确认收到招标文件澄清</w:t>
            </w:r>
          </w:p>
        </w:tc>
        <w:tc>
          <w:tcPr>
            <w:tcW w:w="6603" w:type="dxa"/>
          </w:tcPr>
          <w:p>
            <w:pPr>
              <w:pStyle w:val="TableParagraph"/>
              <w:spacing w:line="242" w:lineRule="auto" w:before="44"/>
              <w:ind w:left="117" w:right="140" w:firstLine="417"/>
              <w:rPr>
                <w:sz w:val="20"/>
              </w:rPr>
            </w:pPr>
            <w:r>
              <w:rPr>
                <w:sz w:val="20"/>
              </w:rPr>
              <w:t>招标人认为自澄清文件在上述电子招投标交易平台发布之时，各投标人即已收悉。因未及时下载招标文件的澄清文件所造成的后果</w:t>
            </w:r>
          </w:p>
          <w:p>
            <w:pPr>
              <w:pStyle w:val="TableParagraph"/>
              <w:spacing w:line="247" w:lineRule="exact" w:before="3"/>
              <w:ind w:left="117"/>
              <w:rPr>
                <w:sz w:val="20"/>
              </w:rPr>
            </w:pPr>
            <w:r>
              <w:rPr>
                <w:sz w:val="20"/>
              </w:rPr>
              <w:t>, 由投标人自行承担。</w:t>
            </w:r>
          </w:p>
        </w:tc>
      </w:tr>
      <w:tr>
        <w:trPr>
          <w:trHeight w:val="832" w:hRule="atLeast"/>
        </w:trPr>
        <w:tc>
          <w:tcPr>
            <w:tcW w:w="1168" w:type="dxa"/>
          </w:tcPr>
          <w:p>
            <w:pPr>
              <w:pStyle w:val="TableParagraph"/>
              <w:spacing w:before="4"/>
              <w:rPr>
                <w:b/>
                <w:sz w:val="24"/>
              </w:rPr>
            </w:pPr>
          </w:p>
          <w:p>
            <w:pPr>
              <w:pStyle w:val="TableParagraph"/>
              <w:spacing w:before="1"/>
              <w:ind w:left="534"/>
              <w:rPr>
                <w:rFonts w:ascii="Times New Roman"/>
                <w:sz w:val="20"/>
              </w:rPr>
            </w:pPr>
            <w:r>
              <w:rPr>
                <w:rFonts w:ascii="Times New Roman"/>
                <w:sz w:val="20"/>
              </w:rPr>
              <w:t>20</w:t>
            </w:r>
          </w:p>
        </w:tc>
        <w:tc>
          <w:tcPr>
            <w:tcW w:w="2098" w:type="dxa"/>
          </w:tcPr>
          <w:p>
            <w:pPr>
              <w:pStyle w:val="TableParagraph"/>
              <w:spacing w:before="6"/>
              <w:rPr>
                <w:b/>
                <w:sz w:val="23"/>
              </w:rPr>
            </w:pPr>
          </w:p>
          <w:p>
            <w:pPr>
              <w:pStyle w:val="TableParagraph"/>
              <w:ind w:left="225" w:right="228"/>
              <w:jc w:val="center"/>
              <w:rPr>
                <w:sz w:val="20"/>
              </w:rPr>
            </w:pPr>
            <w:r>
              <w:rPr>
                <w:sz w:val="20"/>
              </w:rPr>
              <w:t>招标文件修改</w:t>
            </w:r>
          </w:p>
        </w:tc>
        <w:tc>
          <w:tcPr>
            <w:tcW w:w="6603" w:type="dxa"/>
          </w:tcPr>
          <w:p>
            <w:pPr>
              <w:pStyle w:val="TableParagraph"/>
              <w:spacing w:line="242" w:lineRule="auto" w:before="44"/>
              <w:ind w:left="2" w:right="162"/>
              <w:rPr>
                <w:sz w:val="20"/>
              </w:rPr>
            </w:pPr>
            <w:r>
              <w:rPr>
                <w:sz w:val="20"/>
              </w:rPr>
              <w:t>时间：递交投标文件截止之日 </w:t>
            </w:r>
            <w:r>
              <w:rPr>
                <w:rFonts w:ascii="Times New Roman" w:eastAsia="Times New Roman"/>
                <w:sz w:val="20"/>
              </w:rPr>
              <w:t>15 </w:t>
            </w:r>
            <w:r>
              <w:rPr>
                <w:sz w:val="20"/>
              </w:rPr>
              <w:t>天前，不足 </w:t>
            </w:r>
            <w:r>
              <w:rPr>
                <w:rFonts w:ascii="Times New Roman" w:eastAsia="Times New Roman"/>
                <w:sz w:val="20"/>
              </w:rPr>
              <w:t>15 </w:t>
            </w:r>
            <w:r>
              <w:rPr>
                <w:sz w:val="20"/>
              </w:rPr>
              <w:t>日，并且修改内 容影响投标文件编制的，将相应顺延投标截止时间。</w:t>
            </w:r>
          </w:p>
          <w:p>
            <w:pPr>
              <w:pStyle w:val="TableParagraph"/>
              <w:spacing w:line="239" w:lineRule="exact" w:before="11"/>
              <w:ind w:left="537"/>
              <w:rPr>
                <w:sz w:val="20"/>
              </w:rPr>
            </w:pPr>
            <w:r>
              <w:rPr>
                <w:sz w:val="20"/>
              </w:rPr>
              <w:t>形式：通过上述电子招投标交易平台发出。</w:t>
            </w:r>
          </w:p>
        </w:tc>
      </w:tr>
      <w:tr>
        <w:trPr>
          <w:trHeight w:val="572" w:hRule="atLeast"/>
        </w:trPr>
        <w:tc>
          <w:tcPr>
            <w:tcW w:w="1168" w:type="dxa"/>
          </w:tcPr>
          <w:p>
            <w:pPr>
              <w:pStyle w:val="TableParagraph"/>
              <w:spacing w:before="183"/>
              <w:ind w:left="534"/>
              <w:rPr>
                <w:rFonts w:ascii="Times New Roman"/>
                <w:sz w:val="20"/>
              </w:rPr>
            </w:pPr>
            <w:r>
              <w:rPr>
                <w:rFonts w:ascii="Times New Roman"/>
                <w:sz w:val="20"/>
              </w:rPr>
              <w:t>21</w:t>
            </w:r>
          </w:p>
        </w:tc>
        <w:tc>
          <w:tcPr>
            <w:tcW w:w="2098" w:type="dxa"/>
          </w:tcPr>
          <w:p>
            <w:pPr>
              <w:pStyle w:val="TableParagraph"/>
              <w:spacing w:line="250" w:lineRule="atLeast" w:before="45"/>
              <w:ind w:left="564" w:right="183" w:hanging="519"/>
              <w:rPr>
                <w:sz w:val="20"/>
              </w:rPr>
            </w:pPr>
            <w:r>
              <w:rPr>
                <w:sz w:val="20"/>
              </w:rPr>
              <w:t>投标人确认收到招标文件修改</w:t>
            </w:r>
          </w:p>
        </w:tc>
        <w:tc>
          <w:tcPr>
            <w:tcW w:w="6603" w:type="dxa"/>
          </w:tcPr>
          <w:p>
            <w:pPr>
              <w:pStyle w:val="TableParagraph"/>
              <w:spacing w:before="40"/>
              <w:ind w:left="2"/>
              <w:rPr>
                <w:sz w:val="20"/>
              </w:rPr>
            </w:pPr>
            <w:r>
              <w:rPr>
                <w:sz w:val="20"/>
              </w:rPr>
              <w:t>时间：递交投标文件截止之日 </w:t>
            </w:r>
            <w:r>
              <w:rPr>
                <w:rFonts w:ascii="Times New Roman" w:eastAsia="Times New Roman"/>
                <w:sz w:val="20"/>
              </w:rPr>
              <w:t>15 </w:t>
            </w:r>
            <w:r>
              <w:rPr>
                <w:sz w:val="20"/>
              </w:rPr>
              <w:t>日前</w:t>
            </w:r>
          </w:p>
          <w:p>
            <w:pPr>
              <w:pStyle w:val="TableParagraph"/>
              <w:spacing w:line="240" w:lineRule="exact" w:before="15"/>
              <w:ind w:left="2"/>
              <w:rPr>
                <w:sz w:val="20"/>
              </w:rPr>
            </w:pPr>
            <w:r>
              <w:rPr>
                <w:sz w:val="20"/>
              </w:rPr>
              <w:t>形式：通过上述电子招投标交易平台知悉</w:t>
            </w:r>
          </w:p>
        </w:tc>
      </w:tr>
      <w:tr>
        <w:trPr>
          <w:trHeight w:val="572" w:hRule="atLeast"/>
        </w:trPr>
        <w:tc>
          <w:tcPr>
            <w:tcW w:w="1168" w:type="dxa"/>
          </w:tcPr>
          <w:p>
            <w:pPr>
              <w:pStyle w:val="TableParagraph"/>
              <w:spacing w:before="182"/>
              <w:ind w:left="534"/>
              <w:rPr>
                <w:rFonts w:ascii="Times New Roman"/>
                <w:sz w:val="20"/>
              </w:rPr>
            </w:pPr>
            <w:r>
              <w:rPr>
                <w:rFonts w:ascii="Times New Roman"/>
                <w:sz w:val="20"/>
              </w:rPr>
              <w:t>22</w:t>
            </w:r>
          </w:p>
        </w:tc>
        <w:tc>
          <w:tcPr>
            <w:tcW w:w="2098" w:type="dxa"/>
          </w:tcPr>
          <w:p>
            <w:pPr>
              <w:pStyle w:val="TableParagraph"/>
              <w:spacing w:line="260" w:lineRule="atLeast" w:before="38"/>
              <w:ind w:left="772" w:right="183" w:hanging="728"/>
              <w:rPr>
                <w:sz w:val="20"/>
              </w:rPr>
            </w:pPr>
            <w:r>
              <w:rPr>
                <w:sz w:val="20"/>
              </w:rPr>
              <w:t>构成投标文件的其他资料</w:t>
            </w:r>
          </w:p>
        </w:tc>
        <w:tc>
          <w:tcPr>
            <w:tcW w:w="6603" w:type="dxa"/>
          </w:tcPr>
          <w:p>
            <w:pPr>
              <w:pStyle w:val="TableParagraph"/>
              <w:rPr>
                <w:b/>
                <w:sz w:val="19"/>
              </w:rPr>
            </w:pPr>
          </w:p>
          <w:p>
            <w:pPr>
              <w:pStyle w:val="TableParagraph"/>
              <w:ind w:left="2"/>
              <w:rPr>
                <w:sz w:val="20"/>
              </w:rPr>
            </w:pPr>
            <w:r>
              <w:rPr>
                <w:sz w:val="20"/>
              </w:rPr>
              <w:t>投标人认为有必要提交的其他材料</w:t>
            </w:r>
          </w:p>
        </w:tc>
      </w:tr>
      <w:tr>
        <w:trPr>
          <w:trHeight w:val="571" w:hRule="atLeast"/>
        </w:trPr>
        <w:tc>
          <w:tcPr>
            <w:tcW w:w="1168" w:type="dxa"/>
          </w:tcPr>
          <w:p>
            <w:pPr>
              <w:pStyle w:val="TableParagraph"/>
              <w:spacing w:before="181"/>
              <w:ind w:left="534"/>
              <w:rPr>
                <w:rFonts w:ascii="Times New Roman"/>
                <w:sz w:val="20"/>
              </w:rPr>
            </w:pPr>
            <w:r>
              <w:rPr>
                <w:rFonts w:ascii="Times New Roman"/>
                <w:sz w:val="20"/>
              </w:rPr>
              <w:t>23</w:t>
            </w:r>
          </w:p>
        </w:tc>
        <w:tc>
          <w:tcPr>
            <w:tcW w:w="2098" w:type="dxa"/>
          </w:tcPr>
          <w:p>
            <w:pPr>
              <w:pStyle w:val="TableParagraph"/>
              <w:spacing w:line="260" w:lineRule="atLeast" w:before="39"/>
              <w:ind w:left="878" w:right="183" w:hanging="833"/>
              <w:rPr>
                <w:sz w:val="20"/>
              </w:rPr>
            </w:pPr>
            <w:r>
              <w:rPr>
                <w:sz w:val="20"/>
              </w:rPr>
              <w:t>增值税税金的计算方法</w:t>
            </w:r>
          </w:p>
        </w:tc>
        <w:tc>
          <w:tcPr>
            <w:tcW w:w="6603" w:type="dxa"/>
          </w:tcPr>
          <w:p>
            <w:pPr>
              <w:pStyle w:val="TableParagraph"/>
              <w:spacing w:before="1"/>
              <w:rPr>
                <w:b/>
                <w:sz w:val="19"/>
              </w:rPr>
            </w:pPr>
          </w:p>
          <w:p>
            <w:pPr>
              <w:pStyle w:val="TableParagraph"/>
              <w:ind w:left="2"/>
              <w:rPr>
                <w:sz w:val="20"/>
              </w:rPr>
            </w:pPr>
            <w:r>
              <w:rPr>
                <w:sz w:val="20"/>
              </w:rPr>
              <w:t>按照国家、省市现行规定执行。</w:t>
            </w:r>
          </w:p>
        </w:tc>
      </w:tr>
      <w:tr>
        <w:trPr>
          <w:trHeight w:val="574" w:hRule="atLeast"/>
        </w:trPr>
        <w:tc>
          <w:tcPr>
            <w:tcW w:w="1168" w:type="dxa"/>
          </w:tcPr>
          <w:p>
            <w:pPr>
              <w:pStyle w:val="TableParagraph"/>
              <w:spacing w:before="185"/>
              <w:ind w:left="534"/>
              <w:rPr>
                <w:rFonts w:ascii="Times New Roman"/>
                <w:sz w:val="20"/>
              </w:rPr>
            </w:pPr>
            <w:r>
              <w:rPr>
                <w:rFonts w:ascii="Times New Roman"/>
                <w:sz w:val="20"/>
              </w:rPr>
              <w:t>24</w:t>
            </w:r>
          </w:p>
        </w:tc>
        <w:tc>
          <w:tcPr>
            <w:tcW w:w="2098" w:type="dxa"/>
          </w:tcPr>
          <w:p>
            <w:pPr>
              <w:pStyle w:val="TableParagraph"/>
              <w:spacing w:before="169"/>
              <w:ind w:left="225" w:right="228"/>
              <w:jc w:val="center"/>
              <w:rPr>
                <w:sz w:val="20"/>
              </w:rPr>
            </w:pPr>
            <w:r>
              <w:rPr>
                <w:sz w:val="20"/>
              </w:rPr>
              <w:t>报价方式</w:t>
            </w:r>
          </w:p>
        </w:tc>
        <w:tc>
          <w:tcPr>
            <w:tcW w:w="6603" w:type="dxa"/>
          </w:tcPr>
          <w:p>
            <w:pPr>
              <w:pStyle w:val="TableParagraph"/>
              <w:rPr>
                <w:b/>
                <w:sz w:val="19"/>
              </w:rPr>
            </w:pPr>
          </w:p>
          <w:p>
            <w:pPr>
              <w:pStyle w:val="TableParagraph"/>
              <w:ind w:left="2"/>
              <w:rPr>
                <w:sz w:val="20"/>
              </w:rPr>
            </w:pPr>
            <w:r>
              <w:rPr>
                <w:sz w:val="20"/>
              </w:rPr>
              <w:t>总价报价</w:t>
            </w:r>
          </w:p>
        </w:tc>
      </w:tr>
      <w:tr>
        <w:trPr>
          <w:trHeight w:val="1465" w:hRule="atLeast"/>
        </w:trPr>
        <w:tc>
          <w:tcPr>
            <w:tcW w:w="1168" w:type="dxa"/>
          </w:tcPr>
          <w:p>
            <w:pPr>
              <w:pStyle w:val="TableParagraph"/>
              <w:rPr>
                <w:b/>
                <w:sz w:val="22"/>
              </w:rPr>
            </w:pPr>
          </w:p>
          <w:p>
            <w:pPr>
              <w:pStyle w:val="TableParagraph"/>
              <w:rPr>
                <w:b/>
                <w:sz w:val="22"/>
              </w:rPr>
            </w:pPr>
          </w:p>
          <w:p>
            <w:pPr>
              <w:pStyle w:val="TableParagraph"/>
              <w:spacing w:before="163"/>
              <w:ind w:left="534"/>
              <w:rPr>
                <w:rFonts w:ascii="Times New Roman"/>
                <w:sz w:val="20"/>
              </w:rPr>
            </w:pPr>
            <w:r>
              <w:rPr>
                <w:rFonts w:ascii="Times New Roman"/>
                <w:sz w:val="20"/>
              </w:rPr>
              <w:t>25</w:t>
            </w:r>
          </w:p>
        </w:tc>
        <w:tc>
          <w:tcPr>
            <w:tcW w:w="2098" w:type="dxa"/>
          </w:tcPr>
          <w:p>
            <w:pPr>
              <w:pStyle w:val="TableParagraph"/>
              <w:rPr>
                <w:b/>
                <w:sz w:val="20"/>
              </w:rPr>
            </w:pPr>
          </w:p>
          <w:p>
            <w:pPr>
              <w:pStyle w:val="TableParagraph"/>
              <w:rPr>
                <w:b/>
                <w:sz w:val="20"/>
              </w:rPr>
            </w:pPr>
          </w:p>
          <w:p>
            <w:pPr>
              <w:pStyle w:val="TableParagraph"/>
              <w:spacing w:before="11"/>
              <w:rPr>
                <w:b/>
                <w:sz w:val="15"/>
              </w:rPr>
            </w:pPr>
          </w:p>
          <w:p>
            <w:pPr>
              <w:pStyle w:val="TableParagraph"/>
              <w:ind w:left="225" w:right="228"/>
              <w:jc w:val="center"/>
              <w:rPr>
                <w:rFonts w:ascii="黑体" w:eastAsia="黑体" w:hint="eastAsia"/>
                <w:sz w:val="20"/>
              </w:rPr>
            </w:pPr>
            <w:r>
              <w:rPr>
                <w:rFonts w:ascii="黑体" w:eastAsia="黑体" w:hint="eastAsia"/>
                <w:sz w:val="20"/>
              </w:rPr>
              <w:t>最高投标限价</w:t>
            </w:r>
          </w:p>
        </w:tc>
        <w:tc>
          <w:tcPr>
            <w:tcW w:w="6603" w:type="dxa"/>
          </w:tcPr>
          <w:p>
            <w:pPr>
              <w:pStyle w:val="TableParagraph"/>
              <w:spacing w:before="29"/>
              <w:ind w:left="2"/>
              <w:rPr>
                <w:sz w:val="20"/>
              </w:rPr>
            </w:pPr>
            <w:r>
              <w:rPr>
                <w:sz w:val="20"/>
              </w:rPr>
              <w:t>□无</w:t>
            </w:r>
          </w:p>
          <w:p>
            <w:pPr>
              <w:pStyle w:val="TableParagraph"/>
              <w:spacing w:line="266" w:lineRule="auto" w:before="11"/>
              <w:ind w:left="2" w:right="4532"/>
              <w:rPr>
                <w:rFonts w:ascii="黑体" w:hAnsi="黑体" w:eastAsia="黑体" w:hint="eastAsia"/>
                <w:sz w:val="20"/>
              </w:rPr>
            </w:pPr>
            <w:r>
              <w:rPr>
                <w:rFonts w:ascii="MS UI Gothic" w:hAnsi="MS UI Gothic" w:eastAsia="MS UI Gothic" w:hint="eastAsia"/>
                <w:sz w:val="20"/>
              </w:rPr>
              <w:t>☑</w:t>
            </w:r>
            <w:r>
              <w:rPr>
                <w:rFonts w:ascii="黑体" w:hAnsi="黑体" w:eastAsia="黑体" w:hint="eastAsia"/>
                <w:sz w:val="20"/>
              </w:rPr>
              <w:t>有，最高投标限价： 最高投标限价含税价：</w:t>
            </w:r>
          </w:p>
          <w:p>
            <w:pPr>
              <w:pStyle w:val="TableParagraph"/>
              <w:spacing w:line="252" w:lineRule="auto"/>
              <w:ind w:left="2" w:right="555"/>
              <w:rPr>
                <w:rFonts w:ascii="黑体" w:eastAsia="黑体" w:hint="eastAsia"/>
                <w:sz w:val="20"/>
              </w:rPr>
            </w:pPr>
            <w:r>
              <w:rPr>
                <w:rFonts w:ascii="黑体" w:eastAsia="黑体" w:hint="eastAsia"/>
                <w:sz w:val="20"/>
              </w:rPr>
              <w:t>小写： 1020319.87元 大写：壹佰零贰万零叁佰壹拾玖元捌角柒分投标人投标报价超出最高限价的，按无效投标处理。</w:t>
            </w:r>
          </w:p>
        </w:tc>
      </w:tr>
      <w:tr>
        <w:trPr>
          <w:trHeight w:val="570" w:hRule="atLeast"/>
        </w:trPr>
        <w:tc>
          <w:tcPr>
            <w:tcW w:w="1168" w:type="dxa"/>
          </w:tcPr>
          <w:p>
            <w:pPr>
              <w:pStyle w:val="TableParagraph"/>
              <w:spacing w:before="178"/>
              <w:ind w:left="534"/>
              <w:rPr>
                <w:rFonts w:ascii="Times New Roman"/>
                <w:sz w:val="20"/>
              </w:rPr>
            </w:pPr>
            <w:r>
              <w:rPr>
                <w:rFonts w:ascii="Times New Roman"/>
                <w:sz w:val="20"/>
              </w:rPr>
              <w:t>26</w:t>
            </w:r>
          </w:p>
        </w:tc>
        <w:tc>
          <w:tcPr>
            <w:tcW w:w="2098" w:type="dxa"/>
          </w:tcPr>
          <w:p>
            <w:pPr>
              <w:pStyle w:val="TableParagraph"/>
              <w:spacing w:before="170"/>
              <w:ind w:left="225" w:right="228"/>
              <w:jc w:val="center"/>
              <w:rPr>
                <w:rFonts w:ascii="黑体" w:eastAsia="黑体" w:hint="eastAsia"/>
                <w:sz w:val="20"/>
              </w:rPr>
            </w:pPr>
            <w:r>
              <w:rPr>
                <w:rFonts w:ascii="黑体" w:eastAsia="黑体" w:hint="eastAsia"/>
                <w:sz w:val="20"/>
              </w:rPr>
              <w:t>投标有效期</w:t>
            </w:r>
          </w:p>
        </w:tc>
        <w:tc>
          <w:tcPr>
            <w:tcW w:w="6603" w:type="dxa"/>
          </w:tcPr>
          <w:p>
            <w:pPr>
              <w:pStyle w:val="TableParagraph"/>
              <w:spacing w:before="170"/>
              <w:ind w:left="2"/>
              <w:rPr>
                <w:rFonts w:ascii="黑体" w:eastAsia="黑体" w:hint="eastAsia"/>
                <w:sz w:val="20"/>
              </w:rPr>
            </w:pPr>
            <w:r>
              <w:rPr>
                <w:rFonts w:ascii="黑体" w:eastAsia="黑体" w:hint="eastAsia"/>
                <w:sz w:val="20"/>
              </w:rPr>
              <w:t>90 天(自投标人递交投标文件截止之日开始计算)</w:t>
            </w:r>
          </w:p>
        </w:tc>
      </w:tr>
    </w:tbl>
    <w:p>
      <w:pPr>
        <w:spacing w:after="0"/>
        <w:rPr>
          <w:rFonts w:ascii="黑体" w:eastAsia="黑体" w:hint="eastAsia"/>
          <w:sz w:val="20"/>
        </w:rPr>
        <w:sectPr>
          <w:pgSz w:w="11910" w:h="16840"/>
          <w:pgMar w:header="0" w:footer="690" w:top="1400" w:bottom="880" w:left="1300" w:right="500"/>
        </w:sect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68"/>
        <w:gridCol w:w="2098"/>
        <w:gridCol w:w="6603"/>
      </w:tblGrid>
      <w:tr>
        <w:trPr>
          <w:trHeight w:val="850" w:hRule="atLeast"/>
        </w:trPr>
        <w:tc>
          <w:tcPr>
            <w:tcW w:w="1168" w:type="dxa"/>
          </w:tcPr>
          <w:p>
            <w:pPr>
              <w:pStyle w:val="TableParagraph"/>
              <w:spacing w:before="2"/>
              <w:rPr>
                <w:b/>
                <w:sz w:val="24"/>
              </w:rPr>
            </w:pPr>
          </w:p>
          <w:p>
            <w:pPr>
              <w:pStyle w:val="TableParagraph"/>
              <w:ind w:right="426"/>
              <w:jc w:val="right"/>
              <w:rPr>
                <w:rFonts w:ascii="Times New Roman"/>
                <w:sz w:val="20"/>
              </w:rPr>
            </w:pPr>
            <w:r>
              <w:rPr>
                <w:rFonts w:ascii="Times New Roman"/>
                <w:sz w:val="20"/>
              </w:rPr>
              <w:t>27</w:t>
            </w:r>
          </w:p>
        </w:tc>
        <w:tc>
          <w:tcPr>
            <w:tcW w:w="2098" w:type="dxa"/>
          </w:tcPr>
          <w:p>
            <w:pPr>
              <w:pStyle w:val="TableParagraph"/>
              <w:spacing w:before="4"/>
              <w:rPr>
                <w:b/>
                <w:sz w:val="23"/>
              </w:rPr>
            </w:pPr>
          </w:p>
          <w:p>
            <w:pPr>
              <w:pStyle w:val="TableParagraph"/>
              <w:ind w:left="225" w:right="228"/>
              <w:jc w:val="center"/>
              <w:rPr>
                <w:rFonts w:ascii="黑体" w:eastAsia="黑体" w:hint="eastAsia"/>
                <w:sz w:val="20"/>
              </w:rPr>
            </w:pPr>
            <w:r>
              <w:rPr>
                <w:rFonts w:ascii="黑体" w:eastAsia="黑体" w:hint="eastAsia"/>
                <w:sz w:val="20"/>
              </w:rPr>
              <w:t>投标保证金</w:t>
            </w:r>
          </w:p>
        </w:tc>
        <w:tc>
          <w:tcPr>
            <w:tcW w:w="6603" w:type="dxa"/>
          </w:tcPr>
          <w:p>
            <w:pPr>
              <w:pStyle w:val="TableParagraph"/>
              <w:spacing w:before="30"/>
              <w:ind w:left="2"/>
              <w:rPr>
                <w:rFonts w:ascii="黑体" w:eastAsia="黑体" w:hint="eastAsia"/>
                <w:sz w:val="20"/>
              </w:rPr>
            </w:pPr>
            <w:r>
              <w:rPr>
                <w:rFonts w:ascii="黑体" w:eastAsia="黑体" w:hint="eastAsia"/>
                <w:sz w:val="20"/>
              </w:rPr>
              <w:t>是否要求投标人递交投标保证金：</w:t>
            </w:r>
          </w:p>
          <w:p>
            <w:pPr>
              <w:pStyle w:val="TableParagraph"/>
              <w:spacing w:before="32"/>
              <w:ind w:left="2"/>
              <w:rPr>
                <w:rFonts w:ascii="黑体" w:hAnsi="黑体" w:eastAsia="黑体" w:hint="eastAsia"/>
                <w:sz w:val="20"/>
              </w:rPr>
            </w:pPr>
            <w:r>
              <w:rPr>
                <w:rFonts w:ascii="黑体" w:hAnsi="黑体" w:eastAsia="黑体" w:hint="eastAsia"/>
                <w:sz w:val="20"/>
              </w:rPr>
              <w:t>□要求，</w:t>
            </w:r>
          </w:p>
          <w:p>
            <w:pPr>
              <w:pStyle w:val="TableParagraph"/>
              <w:spacing w:line="233" w:lineRule="exact" w:before="22"/>
              <w:ind w:left="2"/>
              <w:rPr>
                <w:rFonts w:ascii="黑体" w:hAnsi="黑体" w:eastAsia="黑体" w:hint="eastAsia"/>
                <w:sz w:val="20"/>
              </w:rPr>
            </w:pPr>
            <w:r>
              <w:rPr>
                <w:rFonts w:ascii="MS UI Gothic" w:hAnsi="MS UI Gothic" w:eastAsia="MS UI Gothic" w:hint="eastAsia"/>
                <w:w w:val="95"/>
                <w:sz w:val="20"/>
              </w:rPr>
              <w:t>☑</w:t>
            </w:r>
            <w:r>
              <w:rPr>
                <w:rFonts w:ascii="黑体" w:hAnsi="黑体" w:eastAsia="黑体" w:hint="eastAsia"/>
                <w:w w:val="95"/>
                <w:sz w:val="20"/>
              </w:rPr>
              <w:t>不要求</w:t>
            </w:r>
          </w:p>
        </w:tc>
      </w:tr>
      <w:tr>
        <w:trPr>
          <w:trHeight w:val="572" w:hRule="atLeast"/>
        </w:trPr>
        <w:tc>
          <w:tcPr>
            <w:tcW w:w="1168" w:type="dxa"/>
          </w:tcPr>
          <w:p>
            <w:pPr>
              <w:pStyle w:val="TableParagraph"/>
              <w:spacing w:before="179"/>
              <w:ind w:right="426"/>
              <w:jc w:val="right"/>
              <w:rPr>
                <w:rFonts w:ascii="Times New Roman"/>
                <w:sz w:val="20"/>
              </w:rPr>
            </w:pPr>
            <w:r>
              <w:rPr>
                <w:rFonts w:ascii="Times New Roman"/>
                <w:sz w:val="20"/>
              </w:rPr>
              <w:t>28</w:t>
            </w:r>
          </w:p>
        </w:tc>
        <w:tc>
          <w:tcPr>
            <w:tcW w:w="2098" w:type="dxa"/>
          </w:tcPr>
          <w:p>
            <w:pPr>
              <w:pStyle w:val="TableParagraph"/>
              <w:spacing w:line="260" w:lineRule="atLeast" w:before="38"/>
              <w:ind w:left="772" w:right="185" w:hanging="723"/>
              <w:rPr>
                <w:sz w:val="20"/>
              </w:rPr>
            </w:pPr>
            <w:r>
              <w:rPr>
                <w:sz w:val="20"/>
              </w:rPr>
              <w:t>资格审查资料的特殊要求</w:t>
            </w:r>
          </w:p>
        </w:tc>
        <w:tc>
          <w:tcPr>
            <w:tcW w:w="6603" w:type="dxa"/>
          </w:tcPr>
          <w:p>
            <w:pPr>
              <w:pStyle w:val="TableParagraph"/>
              <w:spacing w:before="32"/>
              <w:ind w:left="2"/>
              <w:rPr>
                <w:sz w:val="20"/>
              </w:rPr>
            </w:pPr>
            <w:r>
              <w:rPr>
                <w:rFonts w:ascii="MS Gothic" w:hAnsi="MS Gothic" w:eastAsia="MS Gothic" w:hint="eastAsia"/>
                <w:sz w:val="20"/>
              </w:rPr>
              <w:t>☑</w:t>
            </w:r>
            <w:r>
              <w:rPr>
                <w:sz w:val="20"/>
              </w:rPr>
              <w:t>无</w:t>
            </w:r>
          </w:p>
          <w:p>
            <w:pPr>
              <w:pStyle w:val="TableParagraph"/>
              <w:spacing w:line="246" w:lineRule="exact" w:before="17"/>
              <w:ind w:left="2"/>
              <w:rPr>
                <w:sz w:val="20"/>
              </w:rPr>
            </w:pPr>
            <w:r>
              <w:rPr>
                <w:sz w:val="20"/>
              </w:rPr>
              <w:t>□有，具体要求：</w:t>
            </w:r>
          </w:p>
        </w:tc>
      </w:tr>
      <w:tr>
        <w:trPr>
          <w:trHeight w:val="831" w:hRule="atLeast"/>
        </w:trPr>
        <w:tc>
          <w:tcPr>
            <w:tcW w:w="1168" w:type="dxa"/>
          </w:tcPr>
          <w:p>
            <w:pPr>
              <w:pStyle w:val="TableParagraph"/>
              <w:spacing w:before="3"/>
              <w:rPr>
                <w:b/>
                <w:sz w:val="24"/>
              </w:rPr>
            </w:pPr>
          </w:p>
          <w:p>
            <w:pPr>
              <w:pStyle w:val="TableParagraph"/>
              <w:ind w:right="426"/>
              <w:jc w:val="right"/>
              <w:rPr>
                <w:rFonts w:ascii="Times New Roman"/>
                <w:sz w:val="20"/>
              </w:rPr>
            </w:pPr>
            <w:r>
              <w:rPr>
                <w:rFonts w:ascii="Times New Roman"/>
                <w:sz w:val="20"/>
              </w:rPr>
              <w:t>29</w:t>
            </w:r>
          </w:p>
        </w:tc>
        <w:tc>
          <w:tcPr>
            <w:tcW w:w="2098" w:type="dxa"/>
          </w:tcPr>
          <w:p>
            <w:pPr>
              <w:pStyle w:val="TableParagraph"/>
              <w:spacing w:before="5"/>
              <w:rPr>
                <w:b/>
                <w:sz w:val="23"/>
              </w:rPr>
            </w:pPr>
          </w:p>
          <w:p>
            <w:pPr>
              <w:pStyle w:val="TableParagraph"/>
              <w:ind w:left="225" w:right="228"/>
              <w:jc w:val="center"/>
              <w:rPr>
                <w:rFonts w:ascii="黑体" w:eastAsia="黑体" w:hint="eastAsia"/>
                <w:sz w:val="20"/>
              </w:rPr>
            </w:pPr>
            <w:r>
              <w:rPr>
                <w:rFonts w:ascii="黑体" w:eastAsia="黑体" w:hint="eastAsia"/>
                <w:sz w:val="20"/>
              </w:rPr>
              <w:t>财务状况</w:t>
            </w:r>
          </w:p>
        </w:tc>
        <w:tc>
          <w:tcPr>
            <w:tcW w:w="6603" w:type="dxa"/>
          </w:tcPr>
          <w:p>
            <w:pPr>
              <w:pStyle w:val="TableParagraph"/>
              <w:spacing w:line="244" w:lineRule="auto" w:before="170"/>
              <w:ind w:left="2" w:right="138"/>
              <w:rPr>
                <w:rFonts w:ascii="黑体" w:eastAsia="黑体" w:hint="eastAsia"/>
                <w:sz w:val="20"/>
              </w:rPr>
            </w:pPr>
            <w:r>
              <w:rPr>
                <w:rFonts w:ascii="黑体" w:eastAsia="黑体" w:hint="eastAsia"/>
                <w:sz w:val="20"/>
              </w:rPr>
              <w:t>投标人须具备履行合同的良好财务能力。（提供承诺函，并对其真实性承担法律责任）</w:t>
            </w:r>
          </w:p>
        </w:tc>
      </w:tr>
      <w:tr>
        <w:trPr>
          <w:trHeight w:val="572" w:hRule="atLeast"/>
        </w:trPr>
        <w:tc>
          <w:tcPr>
            <w:tcW w:w="1168" w:type="dxa"/>
          </w:tcPr>
          <w:p>
            <w:pPr>
              <w:pStyle w:val="TableParagraph"/>
              <w:spacing w:before="179"/>
              <w:ind w:right="421"/>
              <w:jc w:val="right"/>
              <w:rPr>
                <w:rFonts w:ascii="Times New Roman"/>
                <w:sz w:val="20"/>
              </w:rPr>
            </w:pPr>
            <w:r>
              <w:rPr>
                <w:rFonts w:ascii="Times New Roman"/>
                <w:sz w:val="20"/>
              </w:rPr>
              <w:t>30</w:t>
            </w:r>
          </w:p>
        </w:tc>
        <w:tc>
          <w:tcPr>
            <w:tcW w:w="2098" w:type="dxa"/>
          </w:tcPr>
          <w:p>
            <w:pPr>
              <w:pStyle w:val="TableParagraph"/>
              <w:spacing w:line="260" w:lineRule="atLeast" w:before="40"/>
              <w:ind w:left="163" w:right="147" w:hanging="130"/>
              <w:rPr>
                <w:sz w:val="20"/>
              </w:rPr>
            </w:pPr>
            <w:r>
              <w:rPr>
                <w:sz w:val="20"/>
              </w:rPr>
              <w:t>近年发生的诉讼及仲裁情况的时间要求</w:t>
            </w:r>
          </w:p>
        </w:tc>
        <w:tc>
          <w:tcPr>
            <w:tcW w:w="6603" w:type="dxa"/>
          </w:tcPr>
          <w:p>
            <w:pPr>
              <w:pStyle w:val="TableParagraph"/>
              <w:spacing w:before="12"/>
              <w:rPr>
                <w:b/>
                <w:sz w:val="19"/>
              </w:rPr>
            </w:pPr>
          </w:p>
          <w:p>
            <w:pPr>
              <w:pStyle w:val="TableParagraph"/>
              <w:ind w:left="393"/>
              <w:rPr>
                <w:rFonts w:ascii="Times New Roman"/>
                <w:sz w:val="20"/>
              </w:rPr>
            </w:pPr>
            <w:r>
              <w:rPr>
                <w:rFonts w:ascii="Times New Roman"/>
                <w:w w:val="99"/>
                <w:sz w:val="20"/>
              </w:rPr>
              <w:t>/</w:t>
            </w:r>
          </w:p>
        </w:tc>
      </w:tr>
      <w:tr>
        <w:trPr>
          <w:trHeight w:val="827" w:hRule="atLeast"/>
        </w:trPr>
        <w:tc>
          <w:tcPr>
            <w:tcW w:w="1168" w:type="dxa"/>
          </w:tcPr>
          <w:p>
            <w:pPr>
              <w:pStyle w:val="TableParagraph"/>
              <w:spacing w:before="11"/>
              <w:rPr>
                <w:b/>
                <w:sz w:val="22"/>
              </w:rPr>
            </w:pPr>
          </w:p>
          <w:p>
            <w:pPr>
              <w:pStyle w:val="TableParagraph"/>
              <w:ind w:right="421"/>
              <w:jc w:val="right"/>
              <w:rPr>
                <w:rFonts w:ascii="Times New Roman"/>
                <w:sz w:val="20"/>
              </w:rPr>
            </w:pPr>
            <w:r>
              <w:rPr>
                <w:rFonts w:ascii="Times New Roman"/>
                <w:sz w:val="20"/>
              </w:rPr>
              <w:t>31</w:t>
            </w:r>
          </w:p>
        </w:tc>
        <w:tc>
          <w:tcPr>
            <w:tcW w:w="2098" w:type="dxa"/>
          </w:tcPr>
          <w:p>
            <w:pPr>
              <w:pStyle w:val="TableParagraph"/>
              <w:spacing w:before="6"/>
              <w:rPr>
                <w:b/>
                <w:sz w:val="21"/>
              </w:rPr>
            </w:pPr>
          </w:p>
          <w:p>
            <w:pPr>
              <w:pStyle w:val="TableParagraph"/>
              <w:ind w:left="669" w:right="183" w:hanging="624"/>
              <w:rPr>
                <w:sz w:val="20"/>
              </w:rPr>
            </w:pPr>
            <w:r>
              <w:rPr>
                <w:sz w:val="20"/>
              </w:rPr>
              <w:t>是否允许递交备选投标方案</w:t>
            </w:r>
          </w:p>
        </w:tc>
        <w:tc>
          <w:tcPr>
            <w:tcW w:w="6603" w:type="dxa"/>
          </w:tcPr>
          <w:p>
            <w:pPr>
              <w:pStyle w:val="TableParagraph"/>
              <w:spacing w:before="153"/>
              <w:ind w:left="2"/>
              <w:rPr>
                <w:sz w:val="20"/>
              </w:rPr>
            </w:pPr>
            <w:r>
              <w:rPr>
                <w:rFonts w:ascii="MS Gothic" w:hAnsi="MS Gothic" w:eastAsia="MS Gothic" w:hint="eastAsia"/>
                <w:sz w:val="20"/>
              </w:rPr>
              <w:t>☑</w:t>
            </w:r>
            <w:r>
              <w:rPr>
                <w:sz w:val="20"/>
              </w:rPr>
              <w:t>不允许</w:t>
            </w:r>
          </w:p>
          <w:p>
            <w:pPr>
              <w:pStyle w:val="TableParagraph"/>
              <w:spacing w:line="241" w:lineRule="exact" w:before="156"/>
              <w:ind w:left="2"/>
              <w:rPr>
                <w:sz w:val="20"/>
              </w:rPr>
            </w:pPr>
            <w:r>
              <w:rPr>
                <w:sz w:val="20"/>
              </w:rPr>
              <w:t>□允许</w:t>
            </w:r>
          </w:p>
        </w:tc>
      </w:tr>
      <w:tr>
        <w:trPr>
          <w:trHeight w:val="572" w:hRule="atLeast"/>
        </w:trPr>
        <w:tc>
          <w:tcPr>
            <w:tcW w:w="1168" w:type="dxa"/>
          </w:tcPr>
          <w:p>
            <w:pPr>
              <w:pStyle w:val="TableParagraph"/>
              <w:spacing w:before="181"/>
              <w:ind w:right="421"/>
              <w:jc w:val="right"/>
              <w:rPr>
                <w:rFonts w:ascii="Times New Roman"/>
                <w:sz w:val="20"/>
              </w:rPr>
            </w:pPr>
            <w:r>
              <w:rPr>
                <w:rFonts w:ascii="Times New Roman"/>
                <w:sz w:val="20"/>
              </w:rPr>
              <w:t>32</w:t>
            </w:r>
          </w:p>
        </w:tc>
        <w:tc>
          <w:tcPr>
            <w:tcW w:w="2098" w:type="dxa"/>
          </w:tcPr>
          <w:p>
            <w:pPr>
              <w:pStyle w:val="TableParagraph"/>
              <w:spacing w:line="260" w:lineRule="atLeast" w:before="39"/>
              <w:ind w:left="669" w:right="183" w:hanging="624"/>
              <w:rPr>
                <w:sz w:val="20"/>
              </w:rPr>
            </w:pPr>
            <w:r>
              <w:rPr>
                <w:sz w:val="20"/>
              </w:rPr>
              <w:t>投标文件所附证书证件要求</w:t>
            </w:r>
          </w:p>
        </w:tc>
        <w:tc>
          <w:tcPr>
            <w:tcW w:w="6603" w:type="dxa"/>
          </w:tcPr>
          <w:p>
            <w:pPr>
              <w:pStyle w:val="TableParagraph"/>
              <w:spacing w:line="260" w:lineRule="atLeast" w:before="39"/>
              <w:ind w:left="2" w:right="222"/>
              <w:rPr>
                <w:sz w:val="20"/>
              </w:rPr>
            </w:pPr>
            <w:r>
              <w:rPr>
                <w:sz w:val="20"/>
              </w:rPr>
              <w:t>投标文件所附证书证件为原件的扫描件，投标人应保证投标文件 所附证书证件真实、准确、有效，清晰。</w:t>
            </w:r>
          </w:p>
        </w:tc>
      </w:tr>
      <w:tr>
        <w:trPr>
          <w:trHeight w:val="2760" w:hRule="atLeast"/>
        </w:trPr>
        <w:tc>
          <w:tcPr>
            <w:tcW w:w="1168"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47"/>
              <w:ind w:right="421"/>
              <w:jc w:val="right"/>
              <w:rPr>
                <w:rFonts w:ascii="Times New Roman"/>
                <w:sz w:val="20"/>
              </w:rPr>
            </w:pPr>
            <w:r>
              <w:rPr>
                <w:rFonts w:ascii="Times New Roman"/>
                <w:sz w:val="20"/>
              </w:rPr>
              <w:t>33</w:t>
            </w:r>
          </w:p>
        </w:tc>
        <w:tc>
          <w:tcPr>
            <w:tcW w:w="2098" w:type="dxa"/>
          </w:tcPr>
          <w:p>
            <w:pPr>
              <w:pStyle w:val="TableParagraph"/>
              <w:rPr>
                <w:b/>
                <w:sz w:val="20"/>
              </w:rPr>
            </w:pPr>
          </w:p>
          <w:p>
            <w:pPr>
              <w:pStyle w:val="TableParagraph"/>
              <w:rPr>
                <w:b/>
                <w:sz w:val="20"/>
              </w:rPr>
            </w:pPr>
          </w:p>
          <w:p>
            <w:pPr>
              <w:pStyle w:val="TableParagraph"/>
              <w:rPr>
                <w:b/>
                <w:sz w:val="20"/>
              </w:rPr>
            </w:pPr>
          </w:p>
          <w:p>
            <w:pPr>
              <w:pStyle w:val="TableParagraph"/>
              <w:spacing w:before="9"/>
              <w:rPr>
                <w:b/>
                <w:sz w:val="28"/>
              </w:rPr>
            </w:pPr>
          </w:p>
          <w:p>
            <w:pPr>
              <w:pStyle w:val="TableParagraph"/>
              <w:spacing w:line="242" w:lineRule="auto"/>
              <w:ind w:left="772" w:right="183" w:hanging="728"/>
              <w:rPr>
                <w:sz w:val="20"/>
              </w:rPr>
            </w:pPr>
            <w:r>
              <w:rPr>
                <w:sz w:val="20"/>
              </w:rPr>
              <w:t>投标文件签字或盖章要求</w:t>
            </w:r>
          </w:p>
        </w:tc>
        <w:tc>
          <w:tcPr>
            <w:tcW w:w="6603" w:type="dxa"/>
          </w:tcPr>
          <w:p>
            <w:pPr>
              <w:pStyle w:val="TableParagraph"/>
              <w:spacing w:line="252" w:lineRule="auto" w:before="33"/>
              <w:ind w:left="2" w:right="212"/>
              <w:jc w:val="both"/>
              <w:rPr>
                <w:sz w:val="20"/>
              </w:rPr>
            </w:pPr>
            <w:r>
              <w:rPr>
                <w:spacing w:val="5"/>
                <w:sz w:val="20"/>
              </w:rPr>
              <w:t>投标文件全部采用电子文档，投标人应按招标文件要求在指定位 置使</w:t>
            </w:r>
            <w:r>
              <w:rPr>
                <w:spacing w:val="10"/>
                <w:sz w:val="20"/>
              </w:rPr>
              <w:t>用</w:t>
            </w:r>
            <w:r>
              <w:rPr>
                <w:rFonts w:ascii="Times New Roman" w:eastAsia="Times New Roman"/>
                <w:sz w:val="20"/>
              </w:rPr>
              <w:t>CA </w:t>
            </w:r>
            <w:r>
              <w:rPr>
                <w:spacing w:val="7"/>
                <w:sz w:val="20"/>
              </w:rPr>
              <w:t>数字证书加盖单位电子印章或法定代表人印章（</w:t>
            </w:r>
            <w:r>
              <w:rPr>
                <w:spacing w:val="8"/>
                <w:sz w:val="20"/>
              </w:rPr>
              <w:t>手签章</w:t>
            </w:r>
            <w:r>
              <w:rPr>
                <w:sz w:val="20"/>
              </w:rPr>
              <w:t>）</w:t>
            </w:r>
            <w:r>
              <w:rPr>
                <w:spacing w:val="3"/>
                <w:sz w:val="20"/>
              </w:rPr>
              <w:t> 。由</w:t>
            </w:r>
            <w:r>
              <w:rPr>
                <w:spacing w:val="5"/>
                <w:sz w:val="20"/>
              </w:rPr>
              <w:t>投标人的法定代表人签字或加盖印鉴的，投标文件应附法定代表 人身</w:t>
            </w:r>
            <w:r>
              <w:rPr>
                <w:spacing w:val="-1"/>
                <w:sz w:val="20"/>
              </w:rPr>
              <w:t>份证明， 由代理人签字的，投标文件应附由法定代表人签署的授 权委</w:t>
            </w:r>
            <w:r>
              <w:rPr>
                <w:spacing w:val="7"/>
                <w:sz w:val="20"/>
              </w:rPr>
              <w:t>托书。（</w:t>
            </w:r>
            <w:r>
              <w:rPr>
                <w:spacing w:val="-7"/>
                <w:sz w:val="20"/>
              </w:rPr>
              <w:t>河北 </w:t>
            </w:r>
            <w:r>
              <w:rPr>
                <w:rFonts w:ascii="Times New Roman" w:eastAsia="Times New Roman"/>
                <w:sz w:val="20"/>
              </w:rPr>
              <w:t>CA </w:t>
            </w:r>
            <w:r>
              <w:rPr>
                <w:spacing w:val="5"/>
                <w:sz w:val="20"/>
              </w:rPr>
              <w:t>提供：单位电子印章，法定代表人印章，法定 代表</w:t>
            </w:r>
            <w:r>
              <w:rPr>
                <w:spacing w:val="5"/>
                <w:sz w:val="20"/>
              </w:rPr>
              <w:t>人手签章</w:t>
            </w:r>
            <w:r>
              <w:rPr>
                <w:sz w:val="20"/>
              </w:rPr>
              <w:t>）</w:t>
            </w:r>
          </w:p>
          <w:p>
            <w:pPr>
              <w:pStyle w:val="TableParagraph"/>
              <w:numPr>
                <w:ilvl w:val="0"/>
                <w:numId w:val="6"/>
              </w:numPr>
              <w:tabs>
                <w:tab w:pos="199" w:val="left" w:leader="none"/>
              </w:tabs>
              <w:spacing w:line="240" w:lineRule="auto" w:before="24" w:after="0"/>
              <w:ind w:left="198" w:right="0" w:hanging="196"/>
              <w:jc w:val="left"/>
              <w:rPr>
                <w:sz w:val="20"/>
              </w:rPr>
            </w:pPr>
            <w:r>
              <w:rPr>
                <w:spacing w:val="3"/>
                <w:sz w:val="20"/>
              </w:rPr>
              <w:t>电子签字章与手写签字具有同等法律效力；</w:t>
            </w:r>
          </w:p>
          <w:p>
            <w:pPr>
              <w:pStyle w:val="TableParagraph"/>
              <w:numPr>
                <w:ilvl w:val="0"/>
                <w:numId w:val="6"/>
              </w:numPr>
              <w:tabs>
                <w:tab w:pos="207" w:val="left" w:leader="none"/>
              </w:tabs>
              <w:spacing w:line="240" w:lineRule="auto" w:before="20" w:after="0"/>
              <w:ind w:left="206" w:right="0" w:hanging="204"/>
              <w:jc w:val="left"/>
              <w:rPr>
                <w:sz w:val="20"/>
              </w:rPr>
            </w:pPr>
            <w:r>
              <w:rPr>
                <w:spacing w:val="3"/>
                <w:sz w:val="20"/>
              </w:rPr>
              <w:t>电子印章与公章具有同等法律效力；</w:t>
            </w:r>
          </w:p>
          <w:p>
            <w:pPr>
              <w:pStyle w:val="TableParagraph"/>
              <w:spacing w:line="250" w:lineRule="atLeast" w:before="25"/>
              <w:ind w:left="2" w:right="274"/>
              <w:rPr>
                <w:sz w:val="20"/>
              </w:rPr>
            </w:pPr>
            <w:r>
              <w:rPr>
                <w:rFonts w:ascii="Times New Roman" w:eastAsia="Times New Roman"/>
                <w:sz w:val="20"/>
              </w:rPr>
              <w:t>3.</w:t>
            </w:r>
            <w:r>
              <w:rPr>
                <w:sz w:val="20"/>
              </w:rPr>
              <w:t>招标文件中要求提供相关资料及证件的扫描件均须加盖投标人 的单位电子印章。</w:t>
            </w:r>
          </w:p>
        </w:tc>
      </w:tr>
      <w:tr>
        <w:trPr>
          <w:trHeight w:val="1383" w:hRule="atLeast"/>
        </w:trPr>
        <w:tc>
          <w:tcPr>
            <w:tcW w:w="1168" w:type="dxa"/>
          </w:tcPr>
          <w:p>
            <w:pPr>
              <w:pStyle w:val="TableParagraph"/>
              <w:rPr>
                <w:b/>
                <w:sz w:val="22"/>
              </w:rPr>
            </w:pPr>
          </w:p>
          <w:p>
            <w:pPr>
              <w:pStyle w:val="TableParagraph"/>
              <w:spacing w:before="10"/>
              <w:rPr>
                <w:b/>
                <w:sz w:val="23"/>
              </w:rPr>
            </w:pPr>
          </w:p>
          <w:p>
            <w:pPr>
              <w:pStyle w:val="TableParagraph"/>
              <w:spacing w:before="1"/>
              <w:ind w:right="421"/>
              <w:jc w:val="right"/>
              <w:rPr>
                <w:rFonts w:ascii="Times New Roman"/>
                <w:sz w:val="20"/>
              </w:rPr>
            </w:pPr>
            <w:r>
              <w:rPr>
                <w:rFonts w:ascii="Times New Roman"/>
                <w:sz w:val="20"/>
              </w:rPr>
              <w:t>34</w:t>
            </w:r>
          </w:p>
        </w:tc>
        <w:tc>
          <w:tcPr>
            <w:tcW w:w="2098" w:type="dxa"/>
          </w:tcPr>
          <w:p>
            <w:pPr>
              <w:pStyle w:val="TableParagraph"/>
              <w:rPr>
                <w:b/>
                <w:sz w:val="20"/>
              </w:rPr>
            </w:pPr>
          </w:p>
          <w:p>
            <w:pPr>
              <w:pStyle w:val="TableParagraph"/>
              <w:spacing w:before="2"/>
              <w:rPr>
                <w:b/>
                <w:sz w:val="25"/>
              </w:rPr>
            </w:pPr>
          </w:p>
          <w:p>
            <w:pPr>
              <w:pStyle w:val="TableParagraph"/>
              <w:ind w:left="225" w:right="228"/>
              <w:jc w:val="center"/>
              <w:rPr>
                <w:sz w:val="20"/>
              </w:rPr>
            </w:pPr>
            <w:r>
              <w:rPr>
                <w:sz w:val="20"/>
              </w:rPr>
              <w:t>投标文件加密要求</w:t>
            </w:r>
          </w:p>
        </w:tc>
        <w:tc>
          <w:tcPr>
            <w:tcW w:w="6603" w:type="dxa"/>
          </w:tcPr>
          <w:p>
            <w:pPr>
              <w:pStyle w:val="TableParagraph"/>
              <w:spacing w:line="249" w:lineRule="auto" w:before="36"/>
              <w:ind w:left="2" w:right="140"/>
              <w:jc w:val="both"/>
              <w:rPr>
                <w:sz w:val="20"/>
              </w:rPr>
            </w:pPr>
            <w:r>
              <w:rPr>
                <w:sz w:val="20"/>
              </w:rPr>
              <w:t>本次招标为全流程电子招投标，电子投标文件的编制须使用招采 进宝河北专区提供的投标文件制作工具进行制作。投标文件制作完成 时， 需使用投标人的</w:t>
            </w:r>
            <w:r>
              <w:rPr>
                <w:rFonts w:ascii="Times New Roman" w:eastAsia="Times New Roman"/>
                <w:sz w:val="20"/>
              </w:rPr>
              <w:t>CA </w:t>
            </w:r>
            <w:r>
              <w:rPr>
                <w:sz w:val="20"/>
              </w:rPr>
              <w:t>锁电子证书进行加密。投标文件采用电子文 件递交的方式，投标人应于投标截止时间之前通过招标通电子招投标交易</w:t>
            </w:r>
          </w:p>
          <w:p>
            <w:pPr>
              <w:pStyle w:val="TableParagraph"/>
              <w:spacing w:before="2"/>
              <w:ind w:left="2"/>
              <w:jc w:val="both"/>
              <w:rPr>
                <w:sz w:val="20"/>
              </w:rPr>
            </w:pPr>
            <w:r>
              <w:rPr>
                <w:sz w:val="20"/>
              </w:rPr>
              <w:t>平台（https://</w:t>
            </w:r>
            <w:hyperlink r:id="rId11">
              <w:r>
                <w:rPr>
                  <w:sz w:val="20"/>
                </w:rPr>
                <w:t>www.hebztb.com/ </w:t>
              </w:r>
            </w:hyperlink>
            <w:r>
              <w:rPr>
                <w:sz w:val="20"/>
              </w:rPr>
              <w:t>上传电子投标文件。</w:t>
            </w:r>
          </w:p>
        </w:tc>
      </w:tr>
      <w:tr>
        <w:trPr>
          <w:trHeight w:val="634" w:hRule="atLeast"/>
        </w:trPr>
        <w:tc>
          <w:tcPr>
            <w:tcW w:w="1168" w:type="dxa"/>
          </w:tcPr>
          <w:p>
            <w:pPr>
              <w:pStyle w:val="TableParagraph"/>
              <w:spacing w:before="9"/>
              <w:rPr>
                <w:b/>
                <w:sz w:val="16"/>
              </w:rPr>
            </w:pPr>
          </w:p>
          <w:p>
            <w:pPr>
              <w:pStyle w:val="TableParagraph"/>
              <w:ind w:right="421"/>
              <w:jc w:val="right"/>
              <w:rPr>
                <w:rFonts w:ascii="Times New Roman"/>
                <w:sz w:val="20"/>
              </w:rPr>
            </w:pPr>
            <w:r>
              <w:rPr>
                <w:rFonts w:ascii="Times New Roman"/>
                <w:sz w:val="20"/>
              </w:rPr>
              <w:t>35</w:t>
            </w:r>
          </w:p>
        </w:tc>
        <w:tc>
          <w:tcPr>
            <w:tcW w:w="2098" w:type="dxa"/>
          </w:tcPr>
          <w:p>
            <w:pPr>
              <w:pStyle w:val="TableParagraph"/>
              <w:spacing w:before="1"/>
              <w:rPr>
                <w:b/>
                <w:sz w:val="16"/>
              </w:rPr>
            </w:pPr>
          </w:p>
          <w:p>
            <w:pPr>
              <w:pStyle w:val="TableParagraph"/>
              <w:ind w:left="225" w:right="228"/>
              <w:jc w:val="center"/>
              <w:rPr>
                <w:sz w:val="20"/>
              </w:rPr>
            </w:pPr>
            <w:r>
              <w:rPr>
                <w:sz w:val="20"/>
              </w:rPr>
              <w:t>投标截止时间</w:t>
            </w:r>
          </w:p>
        </w:tc>
        <w:tc>
          <w:tcPr>
            <w:tcW w:w="6603" w:type="dxa"/>
          </w:tcPr>
          <w:p>
            <w:pPr>
              <w:pStyle w:val="TableParagraph"/>
              <w:spacing w:line="304" w:lineRule="exact" w:before="22"/>
              <w:ind w:left="2"/>
              <w:rPr>
                <w:sz w:val="24"/>
              </w:rPr>
            </w:pPr>
            <w:r>
              <w:rPr>
                <w:sz w:val="20"/>
              </w:rPr>
              <w:t>投标截止时间：</w:t>
            </w:r>
            <w:r>
              <w:rPr>
                <w:sz w:val="24"/>
              </w:rPr>
              <w:t>2025 年 7 月 7 日 08：30 时</w:t>
            </w:r>
          </w:p>
          <w:p>
            <w:pPr>
              <w:pStyle w:val="TableParagraph"/>
              <w:spacing w:line="289" w:lineRule="exact"/>
              <w:ind w:left="2"/>
              <w:rPr>
                <w:sz w:val="24"/>
              </w:rPr>
            </w:pPr>
            <w:r>
              <w:rPr>
                <w:sz w:val="20"/>
              </w:rPr>
              <w:t>解密截止时间：</w:t>
            </w:r>
            <w:r>
              <w:rPr>
                <w:sz w:val="24"/>
              </w:rPr>
              <w:t>2025 年 7 月7 日 09：00 时</w:t>
            </w:r>
          </w:p>
        </w:tc>
      </w:tr>
      <w:tr>
        <w:trPr>
          <w:trHeight w:val="572" w:hRule="atLeast"/>
        </w:trPr>
        <w:tc>
          <w:tcPr>
            <w:tcW w:w="1168" w:type="dxa"/>
          </w:tcPr>
          <w:p>
            <w:pPr>
              <w:pStyle w:val="TableParagraph"/>
              <w:spacing w:before="184"/>
              <w:ind w:right="421"/>
              <w:jc w:val="right"/>
              <w:rPr>
                <w:rFonts w:ascii="Times New Roman"/>
                <w:sz w:val="20"/>
              </w:rPr>
            </w:pPr>
            <w:r>
              <w:rPr>
                <w:rFonts w:ascii="Times New Roman"/>
                <w:sz w:val="20"/>
              </w:rPr>
              <w:t>36</w:t>
            </w:r>
          </w:p>
        </w:tc>
        <w:tc>
          <w:tcPr>
            <w:tcW w:w="2098" w:type="dxa"/>
          </w:tcPr>
          <w:p>
            <w:pPr>
              <w:pStyle w:val="TableParagraph"/>
              <w:spacing w:before="171"/>
              <w:ind w:left="225" w:right="228"/>
              <w:jc w:val="center"/>
              <w:rPr>
                <w:sz w:val="20"/>
              </w:rPr>
            </w:pPr>
            <w:r>
              <w:rPr>
                <w:sz w:val="20"/>
              </w:rPr>
              <w:t>递交投标文件地点</w:t>
            </w:r>
          </w:p>
        </w:tc>
        <w:tc>
          <w:tcPr>
            <w:tcW w:w="6603" w:type="dxa"/>
          </w:tcPr>
          <w:p>
            <w:pPr>
              <w:pStyle w:val="TableParagraph"/>
              <w:spacing w:line="250" w:lineRule="atLeast" w:before="46"/>
              <w:ind w:left="2" w:right="219"/>
              <w:rPr>
                <w:sz w:val="20"/>
              </w:rPr>
            </w:pPr>
            <w:r>
              <w:rPr>
                <w:sz w:val="20"/>
              </w:rPr>
              <w:t>投标截止时间前登录“招采进宝电子招投标交易平台 ”递交使用 投标文件制作工具及河北CA制作生成的的电子投标文件。</w:t>
            </w:r>
          </w:p>
        </w:tc>
      </w:tr>
      <w:tr>
        <w:trPr>
          <w:trHeight w:val="572" w:hRule="atLeast"/>
        </w:trPr>
        <w:tc>
          <w:tcPr>
            <w:tcW w:w="1168" w:type="dxa"/>
          </w:tcPr>
          <w:p>
            <w:pPr>
              <w:pStyle w:val="TableParagraph"/>
              <w:spacing w:before="183"/>
              <w:ind w:right="421"/>
              <w:jc w:val="right"/>
              <w:rPr>
                <w:rFonts w:ascii="Times New Roman"/>
                <w:sz w:val="20"/>
              </w:rPr>
            </w:pPr>
            <w:r>
              <w:rPr>
                <w:rFonts w:ascii="Times New Roman"/>
                <w:sz w:val="20"/>
              </w:rPr>
              <w:t>37</w:t>
            </w:r>
          </w:p>
        </w:tc>
        <w:tc>
          <w:tcPr>
            <w:tcW w:w="2098" w:type="dxa"/>
          </w:tcPr>
          <w:p>
            <w:pPr>
              <w:pStyle w:val="TableParagraph"/>
              <w:spacing w:before="174"/>
              <w:ind w:left="225" w:right="228"/>
              <w:jc w:val="center"/>
              <w:rPr>
                <w:sz w:val="20"/>
              </w:rPr>
            </w:pPr>
            <w:r>
              <w:rPr>
                <w:sz w:val="20"/>
              </w:rPr>
              <w:t>投标文件是否退还</w:t>
            </w:r>
          </w:p>
        </w:tc>
        <w:tc>
          <w:tcPr>
            <w:tcW w:w="6603" w:type="dxa"/>
          </w:tcPr>
          <w:p>
            <w:pPr>
              <w:pStyle w:val="TableParagraph"/>
              <w:spacing w:before="174"/>
              <w:ind w:left="2"/>
              <w:rPr>
                <w:sz w:val="20"/>
              </w:rPr>
            </w:pPr>
            <w:r>
              <w:rPr>
                <w:w w:val="99"/>
                <w:sz w:val="20"/>
              </w:rPr>
              <w:t>否</w:t>
            </w:r>
          </w:p>
        </w:tc>
      </w:tr>
      <w:tr>
        <w:trPr>
          <w:trHeight w:val="597" w:hRule="atLeast"/>
        </w:trPr>
        <w:tc>
          <w:tcPr>
            <w:tcW w:w="1168" w:type="dxa"/>
          </w:tcPr>
          <w:p>
            <w:pPr>
              <w:pStyle w:val="TableParagraph"/>
              <w:spacing w:before="194"/>
              <w:ind w:right="421"/>
              <w:jc w:val="right"/>
              <w:rPr>
                <w:rFonts w:ascii="Times New Roman"/>
                <w:sz w:val="20"/>
              </w:rPr>
            </w:pPr>
            <w:r>
              <w:rPr>
                <w:rFonts w:ascii="Times New Roman"/>
                <w:sz w:val="20"/>
              </w:rPr>
              <w:t>38</w:t>
            </w:r>
          </w:p>
        </w:tc>
        <w:tc>
          <w:tcPr>
            <w:tcW w:w="2098" w:type="dxa"/>
          </w:tcPr>
          <w:p>
            <w:pPr>
              <w:pStyle w:val="TableParagraph"/>
              <w:spacing w:before="6"/>
              <w:rPr>
                <w:b/>
                <w:sz w:val="14"/>
              </w:rPr>
            </w:pPr>
          </w:p>
          <w:p>
            <w:pPr>
              <w:pStyle w:val="TableParagraph"/>
              <w:ind w:left="225" w:right="225"/>
              <w:jc w:val="center"/>
              <w:rPr>
                <w:sz w:val="20"/>
              </w:rPr>
            </w:pPr>
            <w:r>
              <w:rPr>
                <w:sz w:val="20"/>
              </w:rPr>
              <w:t>开标时间和地点</w:t>
            </w:r>
          </w:p>
        </w:tc>
        <w:tc>
          <w:tcPr>
            <w:tcW w:w="6603" w:type="dxa"/>
          </w:tcPr>
          <w:p>
            <w:pPr>
              <w:pStyle w:val="TableParagraph"/>
              <w:spacing w:before="23"/>
              <w:ind w:left="2"/>
              <w:rPr>
                <w:sz w:val="24"/>
              </w:rPr>
            </w:pPr>
            <w:r>
              <w:rPr>
                <w:sz w:val="20"/>
              </w:rPr>
              <w:t>开标时间：</w:t>
            </w:r>
            <w:r>
              <w:rPr>
                <w:sz w:val="24"/>
              </w:rPr>
              <w:t>2025 年 7 月 7 日 08：30 时</w:t>
            </w:r>
          </w:p>
          <w:p>
            <w:pPr>
              <w:pStyle w:val="TableParagraph"/>
              <w:spacing w:line="246" w:lineRule="exact" w:before="1"/>
              <w:ind w:left="2"/>
              <w:rPr>
                <w:sz w:val="20"/>
              </w:rPr>
            </w:pPr>
            <w:r>
              <w:rPr>
                <w:sz w:val="20"/>
              </w:rPr>
              <w:t>开标地点：张北县公共资源交易中心开标区1号位。</w:t>
            </w:r>
          </w:p>
        </w:tc>
      </w:tr>
      <w:tr>
        <w:trPr>
          <w:trHeight w:val="2477" w:hRule="atLeast"/>
        </w:trPr>
        <w:tc>
          <w:tcPr>
            <w:tcW w:w="1168" w:type="dxa"/>
          </w:tcPr>
          <w:p>
            <w:pPr>
              <w:pStyle w:val="TableParagraph"/>
              <w:rPr>
                <w:b/>
                <w:sz w:val="22"/>
              </w:rPr>
            </w:pPr>
          </w:p>
          <w:p>
            <w:pPr>
              <w:pStyle w:val="TableParagraph"/>
              <w:rPr>
                <w:b/>
                <w:sz w:val="22"/>
              </w:rPr>
            </w:pPr>
          </w:p>
          <w:p>
            <w:pPr>
              <w:pStyle w:val="TableParagraph"/>
              <w:rPr>
                <w:b/>
                <w:sz w:val="22"/>
              </w:rPr>
            </w:pPr>
          </w:p>
          <w:p>
            <w:pPr>
              <w:pStyle w:val="TableParagraph"/>
              <w:spacing w:before="149"/>
              <w:ind w:right="421"/>
              <w:jc w:val="right"/>
              <w:rPr>
                <w:rFonts w:ascii="Times New Roman"/>
                <w:sz w:val="20"/>
              </w:rPr>
            </w:pPr>
            <w:r>
              <w:rPr>
                <w:rFonts w:ascii="Times New Roman"/>
                <w:sz w:val="20"/>
              </w:rPr>
              <w:t>39</w:t>
            </w:r>
          </w:p>
        </w:tc>
        <w:tc>
          <w:tcPr>
            <w:tcW w:w="2098" w:type="dxa"/>
          </w:tcPr>
          <w:p>
            <w:pPr>
              <w:pStyle w:val="TableParagraph"/>
              <w:rPr>
                <w:b/>
                <w:sz w:val="20"/>
              </w:rPr>
            </w:pPr>
          </w:p>
          <w:p>
            <w:pPr>
              <w:pStyle w:val="TableParagraph"/>
              <w:rPr>
                <w:b/>
                <w:sz w:val="20"/>
              </w:rPr>
            </w:pPr>
          </w:p>
          <w:p>
            <w:pPr>
              <w:pStyle w:val="TableParagraph"/>
              <w:rPr>
                <w:b/>
                <w:sz w:val="20"/>
              </w:rPr>
            </w:pPr>
          </w:p>
          <w:p>
            <w:pPr>
              <w:pStyle w:val="TableParagraph"/>
              <w:spacing w:before="10"/>
              <w:rPr>
                <w:b/>
                <w:sz w:val="16"/>
              </w:rPr>
            </w:pPr>
          </w:p>
          <w:p>
            <w:pPr>
              <w:pStyle w:val="TableParagraph"/>
              <w:ind w:left="225" w:right="228"/>
              <w:jc w:val="center"/>
              <w:rPr>
                <w:sz w:val="20"/>
              </w:rPr>
            </w:pPr>
            <w:r>
              <w:rPr>
                <w:sz w:val="20"/>
              </w:rPr>
              <w:t>开标程序</w:t>
            </w:r>
          </w:p>
        </w:tc>
        <w:tc>
          <w:tcPr>
            <w:tcW w:w="6603" w:type="dxa"/>
          </w:tcPr>
          <w:p>
            <w:pPr>
              <w:pStyle w:val="TableParagraph"/>
              <w:spacing w:before="36"/>
              <w:ind w:left="534"/>
              <w:rPr>
                <w:sz w:val="20"/>
              </w:rPr>
            </w:pPr>
            <w:r>
              <w:rPr>
                <w:sz w:val="20"/>
              </w:rPr>
              <w:t>开标顺序：</w:t>
            </w:r>
          </w:p>
          <w:p>
            <w:pPr>
              <w:pStyle w:val="TableParagraph"/>
              <w:spacing w:before="39"/>
              <w:ind w:left="2"/>
              <w:rPr>
                <w:sz w:val="20"/>
              </w:rPr>
            </w:pPr>
            <w:r>
              <w:rPr>
                <w:sz w:val="20"/>
              </w:rPr>
              <w:t>（</w:t>
            </w:r>
            <w:r>
              <w:rPr>
                <w:rFonts w:ascii="Times New Roman" w:eastAsia="Times New Roman"/>
                <w:sz w:val="20"/>
              </w:rPr>
              <w:t>1</w:t>
            </w:r>
            <w:r>
              <w:rPr>
                <w:sz w:val="20"/>
              </w:rPr>
              <w:t>）投标人应在投标截止时间前，登录招标通电子招投标交易平台</w:t>
            </w:r>
          </w:p>
          <w:p>
            <w:pPr>
              <w:pStyle w:val="TableParagraph"/>
              <w:spacing w:before="5"/>
              <w:ind w:left="2"/>
              <w:rPr>
                <w:sz w:val="20"/>
              </w:rPr>
            </w:pPr>
            <w:r>
              <w:rPr>
                <w:sz w:val="20"/>
              </w:rPr>
              <w:t>（https://</w:t>
            </w:r>
            <w:hyperlink r:id="rId16">
              <w:r>
                <w:rPr>
                  <w:sz w:val="20"/>
                </w:rPr>
                <w:t>www.hebztb.com/制作和加密</w:t>
              </w:r>
            </w:hyperlink>
            <w:r>
              <w:rPr>
                <w:sz w:val="20"/>
              </w:rPr>
              <w:t>、递交电子投标文件。</w:t>
            </w:r>
          </w:p>
          <w:p>
            <w:pPr>
              <w:pStyle w:val="TableParagraph"/>
              <w:spacing w:line="247" w:lineRule="auto" w:before="34"/>
              <w:ind w:left="2" w:right="114"/>
              <w:jc w:val="both"/>
              <w:rPr>
                <w:sz w:val="20"/>
              </w:rPr>
            </w:pPr>
            <w:r>
              <w:rPr>
                <w:sz w:val="20"/>
              </w:rPr>
              <w:t>（</w:t>
            </w:r>
            <w:r>
              <w:rPr>
                <w:spacing w:val="-82"/>
                <w:sz w:val="20"/>
              </w:rPr>
              <w:t> </w:t>
            </w:r>
            <w:r>
              <w:rPr>
                <w:sz w:val="20"/>
              </w:rPr>
              <w:t>2</w:t>
            </w:r>
            <w:r>
              <w:rPr>
                <w:spacing w:val="-81"/>
                <w:sz w:val="20"/>
              </w:rPr>
              <w:t> </w:t>
            </w:r>
            <w:r>
              <w:rPr>
                <w:sz w:val="20"/>
              </w:rPr>
              <w:t>）</w:t>
            </w:r>
            <w:r>
              <w:rPr>
                <w:spacing w:val="6"/>
                <w:sz w:val="20"/>
              </w:rPr>
              <w:t> 投标人需在开标当日的解密截止时间之前进入招采进宝河北专</w:t>
            </w:r>
            <w:r>
              <w:rPr>
                <w:spacing w:val="5"/>
                <w:sz w:val="20"/>
              </w:rPr>
              <w:t>区， 对递交的电子投标文件进行标书解密</w:t>
            </w:r>
            <w:r>
              <w:rPr>
                <w:spacing w:val="7"/>
                <w:sz w:val="20"/>
              </w:rPr>
              <w:t>；（</w:t>
            </w:r>
            <w:r>
              <w:rPr>
                <w:spacing w:val="13"/>
                <w:sz w:val="20"/>
              </w:rPr>
              <w:t>投标人请远程自行签到</w:t>
            </w:r>
            <w:r>
              <w:rPr>
                <w:spacing w:val="15"/>
                <w:sz w:val="20"/>
              </w:rPr>
              <w:t>和标书解密。标书解密时，请投标人使用在线加密、递交投标文件时</w:t>
            </w:r>
            <w:r>
              <w:rPr>
                <w:spacing w:val="-2"/>
                <w:sz w:val="20"/>
              </w:rPr>
              <w:t>使用的河北 </w:t>
            </w:r>
            <w:r>
              <w:rPr>
                <w:sz w:val="20"/>
              </w:rPr>
              <w:t>CA</w:t>
            </w:r>
            <w:r>
              <w:rPr>
                <w:spacing w:val="-3"/>
                <w:sz w:val="20"/>
              </w:rPr>
              <w:t> 锁进行操作</w:t>
            </w:r>
            <w:r>
              <w:rPr>
                <w:sz w:val="20"/>
              </w:rPr>
              <w:t>）</w:t>
            </w:r>
          </w:p>
          <w:p>
            <w:pPr>
              <w:pStyle w:val="TableParagraph"/>
              <w:spacing w:line="250" w:lineRule="atLeast" w:before="27"/>
              <w:ind w:left="112" w:right="222" w:firstLine="420"/>
              <w:rPr>
                <w:sz w:val="20"/>
              </w:rPr>
            </w:pPr>
            <w:r>
              <w:rPr>
                <w:sz w:val="20"/>
              </w:rPr>
              <w:t>注：因投标人自身原因造成电子投标文件不能解密且采取补救措施仍无法正常开启的，则视其投标文件为无效投标文件。</w:t>
            </w:r>
          </w:p>
        </w:tc>
      </w:tr>
    </w:tbl>
    <w:p>
      <w:pPr>
        <w:spacing w:after="0" w:line="250" w:lineRule="atLeast"/>
        <w:rPr>
          <w:sz w:val="20"/>
        </w:rPr>
        <w:sectPr>
          <w:pgSz w:w="11910" w:h="16840"/>
          <w:pgMar w:header="0" w:footer="690" w:top="1400" w:bottom="880" w:left="1300" w:right="500"/>
        </w:sect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68"/>
        <w:gridCol w:w="2098"/>
        <w:gridCol w:w="6603"/>
      </w:tblGrid>
      <w:tr>
        <w:trPr>
          <w:trHeight w:val="832" w:hRule="atLeast"/>
        </w:trPr>
        <w:tc>
          <w:tcPr>
            <w:tcW w:w="1168" w:type="dxa"/>
          </w:tcPr>
          <w:p>
            <w:pPr>
              <w:pStyle w:val="TableParagraph"/>
              <w:spacing w:before="2"/>
              <w:rPr>
                <w:b/>
                <w:sz w:val="24"/>
              </w:rPr>
            </w:pPr>
          </w:p>
          <w:p>
            <w:pPr>
              <w:pStyle w:val="TableParagraph"/>
              <w:ind w:right="426"/>
              <w:jc w:val="right"/>
              <w:rPr>
                <w:rFonts w:ascii="Times New Roman"/>
                <w:sz w:val="20"/>
              </w:rPr>
            </w:pPr>
            <w:r>
              <w:rPr>
                <w:rFonts w:ascii="Times New Roman"/>
                <w:sz w:val="20"/>
              </w:rPr>
              <w:t>40</w:t>
            </w:r>
          </w:p>
        </w:tc>
        <w:tc>
          <w:tcPr>
            <w:tcW w:w="2098" w:type="dxa"/>
          </w:tcPr>
          <w:p>
            <w:pPr>
              <w:pStyle w:val="TableParagraph"/>
              <w:spacing w:before="4"/>
              <w:rPr>
                <w:b/>
                <w:sz w:val="23"/>
              </w:rPr>
            </w:pPr>
          </w:p>
          <w:p>
            <w:pPr>
              <w:pStyle w:val="TableParagraph"/>
              <w:ind w:left="273"/>
              <w:rPr>
                <w:sz w:val="20"/>
              </w:rPr>
            </w:pPr>
            <w:r>
              <w:rPr>
                <w:sz w:val="20"/>
              </w:rPr>
              <w:t>评标委员会的组建</w:t>
            </w:r>
          </w:p>
        </w:tc>
        <w:tc>
          <w:tcPr>
            <w:tcW w:w="6603" w:type="dxa"/>
          </w:tcPr>
          <w:p>
            <w:pPr>
              <w:pStyle w:val="TableParagraph"/>
              <w:spacing w:line="244" w:lineRule="auto" w:before="35"/>
              <w:ind w:left="114" w:right="188" w:firstLine="417"/>
              <w:rPr>
                <w:sz w:val="20"/>
              </w:rPr>
            </w:pPr>
            <w:r>
              <w:rPr>
                <w:sz w:val="20"/>
              </w:rPr>
              <w:t>评标委员会构成：</w:t>
            </w:r>
            <w:r>
              <w:rPr>
                <w:rFonts w:ascii="Times New Roman" w:eastAsia="Times New Roman"/>
                <w:sz w:val="20"/>
              </w:rPr>
              <w:t>5 </w:t>
            </w:r>
            <w:r>
              <w:rPr>
                <w:sz w:val="20"/>
              </w:rPr>
              <w:t>人，其中招标人代表 </w:t>
            </w:r>
            <w:r>
              <w:rPr>
                <w:rFonts w:ascii="Times New Roman" w:eastAsia="Times New Roman"/>
                <w:sz w:val="20"/>
              </w:rPr>
              <w:t>1 </w:t>
            </w:r>
            <w:r>
              <w:rPr>
                <w:sz w:val="20"/>
              </w:rPr>
              <w:t>人，专家 </w:t>
            </w:r>
            <w:r>
              <w:rPr>
                <w:rFonts w:ascii="Times New Roman" w:eastAsia="Times New Roman"/>
                <w:sz w:val="20"/>
              </w:rPr>
              <w:t>4 </w:t>
            </w:r>
            <w:r>
              <w:rPr>
                <w:sz w:val="20"/>
              </w:rPr>
              <w:t>人；评标专家确定方式： 由评标专家库随机抽取经济、技术专家 </w:t>
            </w:r>
            <w:r>
              <w:rPr>
                <w:rFonts w:ascii="Times New Roman" w:eastAsia="Times New Roman"/>
                <w:sz w:val="20"/>
              </w:rPr>
              <w:t>4 </w:t>
            </w:r>
            <w:r>
              <w:rPr>
                <w:sz w:val="20"/>
              </w:rPr>
              <w:t>人。</w:t>
            </w:r>
          </w:p>
        </w:tc>
      </w:tr>
      <w:tr>
        <w:trPr>
          <w:trHeight w:val="1879" w:hRule="atLeast"/>
        </w:trPr>
        <w:tc>
          <w:tcPr>
            <w:tcW w:w="1168" w:type="dxa"/>
          </w:tcPr>
          <w:p>
            <w:pPr>
              <w:pStyle w:val="TableParagraph"/>
              <w:rPr>
                <w:b/>
                <w:sz w:val="20"/>
              </w:rPr>
            </w:pPr>
          </w:p>
          <w:p>
            <w:pPr>
              <w:pStyle w:val="TableParagraph"/>
              <w:rPr>
                <w:b/>
                <w:sz w:val="20"/>
              </w:rPr>
            </w:pPr>
          </w:p>
          <w:p>
            <w:pPr>
              <w:pStyle w:val="TableParagraph"/>
              <w:spacing w:before="5"/>
              <w:rPr>
                <w:b/>
                <w:sz w:val="22"/>
              </w:rPr>
            </w:pPr>
          </w:p>
          <w:p>
            <w:pPr>
              <w:pStyle w:val="TableParagraph"/>
              <w:spacing w:before="1"/>
              <w:ind w:right="423"/>
              <w:jc w:val="right"/>
              <w:rPr>
                <w:sz w:val="20"/>
              </w:rPr>
            </w:pPr>
            <w:r>
              <w:rPr>
                <w:sz w:val="20"/>
              </w:rPr>
              <w:t>41</w:t>
            </w:r>
          </w:p>
        </w:tc>
        <w:tc>
          <w:tcPr>
            <w:tcW w:w="2098" w:type="dxa"/>
          </w:tcPr>
          <w:p>
            <w:pPr>
              <w:pStyle w:val="TableParagraph"/>
              <w:rPr>
                <w:b/>
                <w:sz w:val="20"/>
              </w:rPr>
            </w:pPr>
          </w:p>
          <w:p>
            <w:pPr>
              <w:pStyle w:val="TableParagraph"/>
              <w:rPr>
                <w:b/>
                <w:sz w:val="20"/>
              </w:rPr>
            </w:pPr>
          </w:p>
          <w:p>
            <w:pPr>
              <w:pStyle w:val="TableParagraph"/>
              <w:spacing w:line="264" w:lineRule="auto" w:before="151"/>
              <w:ind w:left="424" w:right="197" w:hanging="228"/>
              <w:rPr>
                <w:sz w:val="20"/>
              </w:rPr>
            </w:pPr>
            <w:r>
              <w:rPr>
                <w:sz w:val="20"/>
              </w:rPr>
              <w:t>是否授权评标委员会确定中标人</w:t>
            </w:r>
          </w:p>
        </w:tc>
        <w:tc>
          <w:tcPr>
            <w:tcW w:w="6603" w:type="dxa"/>
          </w:tcPr>
          <w:p>
            <w:pPr>
              <w:pStyle w:val="TableParagraph"/>
              <w:spacing w:before="97"/>
              <w:ind w:left="2"/>
              <w:rPr>
                <w:sz w:val="20"/>
              </w:rPr>
            </w:pPr>
            <w:r>
              <w:rPr>
                <w:sz w:val="20"/>
              </w:rPr>
              <w:t>□是</w:t>
            </w:r>
          </w:p>
          <w:p>
            <w:pPr>
              <w:pStyle w:val="TableParagraph"/>
              <w:spacing w:before="147"/>
              <w:ind w:left="2"/>
              <w:rPr>
                <w:sz w:val="20"/>
              </w:rPr>
            </w:pPr>
            <w:r>
              <w:rPr>
                <w:rFonts w:ascii="MS Gothic" w:hAnsi="MS Gothic" w:eastAsia="MS Gothic" w:hint="eastAsia"/>
                <w:sz w:val="20"/>
              </w:rPr>
              <w:t>☑</w:t>
            </w:r>
            <w:r>
              <w:rPr>
                <w:sz w:val="20"/>
              </w:rPr>
              <w:t>否，推荐的中标候选人数：</w:t>
            </w:r>
          </w:p>
          <w:p>
            <w:pPr>
              <w:pStyle w:val="TableParagraph"/>
              <w:spacing w:line="264" w:lineRule="auto" w:before="29"/>
              <w:ind w:left="2" w:right="262"/>
              <w:jc w:val="both"/>
              <w:rPr>
                <w:sz w:val="20"/>
              </w:rPr>
            </w:pPr>
            <w:r>
              <w:rPr>
                <w:sz w:val="20"/>
              </w:rPr>
              <w:t>评标委员会向招标人推荐本项目得分由高到低 1-3 名中标候选人，如评标过程中有效投标不足三个，评标委员会能阐明原因说明投标形成了有效竞争，而不否决全部投标的，则评标委员会可以将所有有效投</w:t>
            </w:r>
          </w:p>
          <w:p>
            <w:pPr>
              <w:pStyle w:val="TableParagraph"/>
              <w:spacing w:line="227" w:lineRule="exact"/>
              <w:ind w:left="2"/>
              <w:jc w:val="both"/>
              <w:rPr>
                <w:sz w:val="20"/>
              </w:rPr>
            </w:pPr>
            <w:r>
              <w:rPr>
                <w:sz w:val="20"/>
              </w:rPr>
              <w:t>标单位做为中标候选人向招标人推荐。</w:t>
            </w:r>
          </w:p>
        </w:tc>
      </w:tr>
      <w:tr>
        <w:trPr>
          <w:trHeight w:val="5709" w:hRule="atLeast"/>
        </w:trPr>
        <w:tc>
          <w:tcPr>
            <w:tcW w:w="1168"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
              <w:rPr>
                <w:b/>
                <w:sz w:val="29"/>
              </w:rPr>
            </w:pPr>
          </w:p>
          <w:p>
            <w:pPr>
              <w:pStyle w:val="TableParagraph"/>
              <w:ind w:right="426"/>
              <w:jc w:val="right"/>
              <w:rPr>
                <w:rFonts w:ascii="Times New Roman"/>
                <w:sz w:val="20"/>
              </w:rPr>
            </w:pPr>
            <w:r>
              <w:rPr>
                <w:rFonts w:ascii="Times New Roman"/>
                <w:sz w:val="20"/>
              </w:rPr>
              <w:t>42</w:t>
            </w:r>
          </w:p>
        </w:tc>
        <w:tc>
          <w:tcPr>
            <w:tcW w:w="2098"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14"/>
              </w:rPr>
            </w:pPr>
          </w:p>
          <w:p>
            <w:pPr>
              <w:pStyle w:val="TableParagraph"/>
              <w:spacing w:line="244" w:lineRule="auto"/>
              <w:ind w:left="612" w:right="238" w:hanging="401"/>
              <w:rPr>
                <w:sz w:val="20"/>
              </w:rPr>
            </w:pPr>
            <w:r>
              <w:rPr>
                <w:sz w:val="20"/>
              </w:rPr>
              <w:t>中标候选人公示媒介及期限</w:t>
            </w:r>
          </w:p>
        </w:tc>
        <w:tc>
          <w:tcPr>
            <w:tcW w:w="6603" w:type="dxa"/>
          </w:tcPr>
          <w:p>
            <w:pPr>
              <w:pStyle w:val="TableParagraph"/>
              <w:spacing w:before="32"/>
              <w:ind w:left="539"/>
              <w:rPr>
                <w:sz w:val="20"/>
              </w:rPr>
            </w:pPr>
            <w:r>
              <w:rPr>
                <w:sz w:val="20"/>
              </w:rPr>
              <w:t>公示媒介：《河北省招标投标公共服务平台》（http://www.heb</w:t>
            </w:r>
          </w:p>
          <w:p>
            <w:pPr>
              <w:pStyle w:val="TableParagraph"/>
              <w:spacing w:before="5"/>
              <w:ind w:left="119"/>
              <w:rPr>
                <w:sz w:val="20"/>
              </w:rPr>
            </w:pPr>
            <w:r>
              <w:rPr>
                <w:sz w:val="20"/>
              </w:rPr>
              <w:t>eieb.com/）、招标通电子招投标交易平台（https://www.hebztb.</w:t>
            </w:r>
          </w:p>
          <w:p>
            <w:pPr>
              <w:pStyle w:val="TableParagraph"/>
              <w:spacing w:before="3"/>
              <w:ind w:left="119"/>
              <w:rPr>
                <w:sz w:val="19"/>
              </w:rPr>
            </w:pPr>
            <w:r>
              <w:rPr>
                <w:spacing w:val="8"/>
                <w:sz w:val="20"/>
              </w:rPr>
              <w:t>com/</w:t>
            </w:r>
            <w:r>
              <w:rPr>
                <w:spacing w:val="-35"/>
                <w:sz w:val="20"/>
              </w:rPr>
              <w:t> 、</w:t>
            </w:r>
            <w:r>
              <w:rPr>
                <w:spacing w:val="12"/>
                <w:sz w:val="19"/>
              </w:rPr>
              <w:t>张北县大容新能源开发有限公司</w:t>
            </w:r>
            <w:r>
              <w:rPr>
                <w:sz w:val="19"/>
              </w:rPr>
              <w:t>（</w:t>
            </w:r>
            <w:r>
              <w:rPr>
                <w:spacing w:val="-67"/>
                <w:sz w:val="19"/>
              </w:rPr>
              <w:t> </w:t>
            </w:r>
            <w:hyperlink r:id="rId17">
              <w:r>
                <w:rPr>
                  <w:sz w:val="19"/>
                </w:rPr>
                <w:t>http</w:t>
              </w:r>
              <w:r>
                <w:rPr>
                  <w:spacing w:val="-35"/>
                  <w:sz w:val="19"/>
                </w:rPr>
                <w:t>: </w:t>
              </w:r>
              <w:r>
                <w:rPr>
                  <w:sz w:val="19"/>
                </w:rPr>
                <w:t>/</w:t>
              </w:r>
              <w:r>
                <w:rPr>
                  <w:spacing w:val="-66"/>
                  <w:sz w:val="19"/>
                </w:rPr>
                <w:t> </w:t>
              </w:r>
              <w:r>
                <w:rPr>
                  <w:sz w:val="19"/>
                </w:rPr>
                <w:t>/</w:t>
              </w:r>
              <w:r>
                <w:rPr>
                  <w:spacing w:val="-63"/>
                  <w:sz w:val="19"/>
                </w:rPr>
                <w:t> </w:t>
              </w:r>
              <w:r>
                <w:rPr>
                  <w:sz w:val="19"/>
                </w:rPr>
                <w:t>www</w:t>
              </w:r>
              <w:r>
                <w:rPr>
                  <w:spacing w:val="-33"/>
                  <w:sz w:val="19"/>
                </w:rPr>
                <w:t>. </w:t>
              </w:r>
              <w:r>
                <w:rPr>
                  <w:sz w:val="19"/>
                </w:rPr>
                <w:t>zbdrxny</w:t>
              </w:r>
              <w:r>
                <w:rPr>
                  <w:spacing w:val="-33"/>
                  <w:sz w:val="19"/>
                </w:rPr>
                <w:t>. </w:t>
              </w:r>
              <w:r>
                <w:rPr>
                  <w:sz w:val="19"/>
                </w:rPr>
                <w:t>com/</w:t>
              </w:r>
            </w:hyperlink>
          </w:p>
          <w:p>
            <w:pPr>
              <w:pStyle w:val="TableParagraph"/>
              <w:spacing w:before="6"/>
              <w:ind w:left="119"/>
              <w:rPr>
                <w:sz w:val="20"/>
              </w:rPr>
            </w:pPr>
            <w:r>
              <w:rPr>
                <w:sz w:val="19"/>
              </w:rPr>
              <w:t>）</w:t>
            </w:r>
            <w:r>
              <w:rPr>
                <w:spacing w:val="-67"/>
                <w:sz w:val="19"/>
              </w:rPr>
              <w:t> </w:t>
            </w:r>
            <w:r>
              <w:rPr>
                <w:sz w:val="20"/>
              </w:rPr>
              <w:t>。</w:t>
            </w:r>
          </w:p>
          <w:p>
            <w:pPr>
              <w:pStyle w:val="TableParagraph"/>
              <w:spacing w:line="242" w:lineRule="auto" w:before="36"/>
              <w:ind w:left="119" w:right="3925" w:firstLine="420"/>
              <w:rPr>
                <w:sz w:val="20"/>
              </w:rPr>
            </w:pPr>
            <w:r>
              <w:rPr>
                <w:sz w:val="20"/>
              </w:rPr>
              <w:t>公示期限：不少于 3 日公示内容：</w:t>
            </w:r>
          </w:p>
          <w:p>
            <w:pPr>
              <w:pStyle w:val="TableParagraph"/>
              <w:spacing w:line="244" w:lineRule="auto" w:before="23"/>
              <w:ind w:left="117" w:right="212" w:firstLine="7"/>
              <w:rPr>
                <w:sz w:val="20"/>
              </w:rPr>
            </w:pPr>
            <w:r>
              <w:rPr>
                <w:sz w:val="20"/>
              </w:rPr>
              <w:t>（一）中标候选人排序、名称、投标价格、评标价格、质量标准、工期；</w:t>
            </w:r>
          </w:p>
          <w:p>
            <w:pPr>
              <w:pStyle w:val="TableParagraph"/>
              <w:spacing w:before="22"/>
              <w:ind w:left="124"/>
              <w:rPr>
                <w:sz w:val="20"/>
              </w:rPr>
            </w:pPr>
            <w:r>
              <w:rPr>
                <w:sz w:val="20"/>
              </w:rPr>
              <w:t>（二）中标候选人按照招标文件要求承诺的项目负责人姓名、职称</w:t>
            </w:r>
          </w:p>
          <w:p>
            <w:pPr>
              <w:pStyle w:val="TableParagraph"/>
              <w:spacing w:before="3"/>
              <w:ind w:left="124"/>
              <w:rPr>
                <w:sz w:val="20"/>
              </w:rPr>
            </w:pPr>
            <w:r>
              <w:rPr>
                <w:sz w:val="20"/>
              </w:rPr>
              <w:t>（如有）、个人业绩（如有）、相关证书名称及编号；</w:t>
            </w:r>
          </w:p>
          <w:p>
            <w:pPr>
              <w:pStyle w:val="TableParagraph"/>
              <w:spacing w:before="17"/>
              <w:ind w:left="124"/>
              <w:rPr>
                <w:sz w:val="20"/>
              </w:rPr>
            </w:pPr>
            <w:r>
              <w:rPr>
                <w:sz w:val="20"/>
              </w:rPr>
              <w:t>（三）中标候选人响应招标文件要求的资格能力条件情况；</w:t>
            </w:r>
          </w:p>
          <w:p>
            <w:pPr>
              <w:pStyle w:val="TableParagraph"/>
              <w:spacing w:before="27"/>
              <w:ind w:left="124"/>
              <w:rPr>
                <w:sz w:val="20"/>
              </w:rPr>
            </w:pPr>
            <w:r>
              <w:rPr>
                <w:sz w:val="20"/>
              </w:rPr>
              <w:t>（四）中标候选人在投标文件中所提供的企业业绩、项目负责人业绩</w:t>
            </w:r>
          </w:p>
          <w:p>
            <w:pPr>
              <w:pStyle w:val="TableParagraph"/>
              <w:spacing w:before="3"/>
              <w:ind w:left="124"/>
              <w:rPr>
                <w:sz w:val="20"/>
              </w:rPr>
            </w:pPr>
            <w:r>
              <w:rPr>
                <w:sz w:val="20"/>
              </w:rPr>
              <w:t>（如有）、奖项（如有）；</w:t>
            </w:r>
          </w:p>
          <w:p>
            <w:pPr>
              <w:pStyle w:val="TableParagraph"/>
              <w:spacing w:before="17"/>
              <w:ind w:left="124"/>
              <w:rPr>
                <w:sz w:val="20"/>
              </w:rPr>
            </w:pPr>
            <w:r>
              <w:rPr>
                <w:sz w:val="20"/>
              </w:rPr>
              <w:t>（五）中标人比较优势及中标候选人评标委员会推荐理由；</w:t>
            </w:r>
          </w:p>
          <w:p>
            <w:pPr>
              <w:pStyle w:val="TableParagraph"/>
              <w:spacing w:line="244" w:lineRule="auto" w:before="25"/>
              <w:ind w:left="114" w:right="212" w:firstLine="9"/>
              <w:rPr>
                <w:sz w:val="20"/>
              </w:rPr>
            </w:pPr>
            <w:r>
              <w:rPr>
                <w:sz w:val="20"/>
              </w:rPr>
              <w:t>（六）各评标委员会成员对所有投标文件的分项评分及总分情况（采用编码标注方式替代评标专家真实姓名）；</w:t>
            </w:r>
          </w:p>
          <w:p>
            <w:pPr>
              <w:pStyle w:val="TableParagraph"/>
              <w:spacing w:before="17"/>
              <w:ind w:left="124"/>
              <w:rPr>
                <w:sz w:val="20"/>
              </w:rPr>
            </w:pPr>
            <w:r>
              <w:rPr>
                <w:w w:val="95"/>
                <w:sz w:val="20"/>
              </w:rPr>
              <w:t>（七）中标候选人公示及中标人发布媒体；</w:t>
            </w:r>
          </w:p>
          <w:p>
            <w:pPr>
              <w:pStyle w:val="TableParagraph"/>
              <w:spacing w:before="20"/>
              <w:ind w:left="124"/>
              <w:rPr>
                <w:sz w:val="20"/>
              </w:rPr>
            </w:pPr>
            <w:r>
              <w:rPr>
                <w:sz w:val="20"/>
              </w:rPr>
              <w:t>（八）投标文件被否决的投标人名称、否决原因；</w:t>
            </w:r>
          </w:p>
          <w:p>
            <w:pPr>
              <w:pStyle w:val="TableParagraph"/>
              <w:spacing w:before="19"/>
              <w:ind w:left="124"/>
              <w:rPr>
                <w:sz w:val="20"/>
              </w:rPr>
            </w:pPr>
            <w:r>
              <w:rPr>
                <w:sz w:val="20"/>
              </w:rPr>
              <w:t>（九）提出异议的渠道和方式；</w:t>
            </w:r>
          </w:p>
          <w:p>
            <w:pPr>
              <w:pStyle w:val="TableParagraph"/>
              <w:spacing w:before="20"/>
              <w:ind w:left="124"/>
              <w:rPr>
                <w:sz w:val="20"/>
              </w:rPr>
            </w:pPr>
            <w:r>
              <w:rPr>
                <w:sz w:val="20"/>
              </w:rPr>
              <w:t>（十）招标文件规定公示的其他内容。</w:t>
            </w:r>
          </w:p>
          <w:p>
            <w:pPr>
              <w:pStyle w:val="TableParagraph"/>
              <w:spacing w:line="234" w:lineRule="exact" w:before="10"/>
              <w:ind w:left="114"/>
              <w:rPr>
                <w:sz w:val="20"/>
              </w:rPr>
            </w:pPr>
            <w:r>
              <w:rPr>
                <w:sz w:val="20"/>
              </w:rPr>
              <w:t>依法需要保密或者涉及商业秘密的内容除外。</w:t>
            </w:r>
          </w:p>
        </w:tc>
      </w:tr>
      <w:tr>
        <w:trPr>
          <w:trHeight w:val="1106" w:hRule="atLeast"/>
        </w:trPr>
        <w:tc>
          <w:tcPr>
            <w:tcW w:w="1168" w:type="dxa"/>
          </w:tcPr>
          <w:p>
            <w:pPr>
              <w:pStyle w:val="TableParagraph"/>
              <w:rPr>
                <w:b/>
                <w:sz w:val="22"/>
              </w:rPr>
            </w:pPr>
          </w:p>
          <w:p>
            <w:pPr>
              <w:pStyle w:val="TableParagraph"/>
              <w:spacing w:before="166"/>
              <w:ind w:right="426"/>
              <w:jc w:val="right"/>
              <w:rPr>
                <w:rFonts w:ascii="Times New Roman"/>
                <w:sz w:val="20"/>
              </w:rPr>
            </w:pPr>
            <w:r>
              <w:rPr>
                <w:rFonts w:ascii="Times New Roman"/>
                <w:sz w:val="20"/>
              </w:rPr>
              <w:t>43</w:t>
            </w:r>
          </w:p>
        </w:tc>
        <w:tc>
          <w:tcPr>
            <w:tcW w:w="2098" w:type="dxa"/>
          </w:tcPr>
          <w:p>
            <w:pPr>
              <w:pStyle w:val="TableParagraph"/>
              <w:rPr>
                <w:b/>
                <w:sz w:val="20"/>
              </w:rPr>
            </w:pPr>
          </w:p>
          <w:p>
            <w:pPr>
              <w:pStyle w:val="TableParagraph"/>
              <w:spacing w:before="4"/>
              <w:rPr>
                <w:b/>
                <w:sz w:val="14"/>
              </w:rPr>
            </w:pPr>
          </w:p>
          <w:p>
            <w:pPr>
              <w:pStyle w:val="TableParagraph"/>
              <w:ind w:left="537"/>
              <w:rPr>
                <w:sz w:val="20"/>
              </w:rPr>
            </w:pPr>
            <w:r>
              <w:rPr>
                <w:sz w:val="20"/>
              </w:rPr>
              <w:t>履约保证金</w:t>
            </w:r>
          </w:p>
        </w:tc>
        <w:tc>
          <w:tcPr>
            <w:tcW w:w="6603" w:type="dxa"/>
          </w:tcPr>
          <w:p>
            <w:pPr>
              <w:pStyle w:val="TableParagraph"/>
              <w:spacing w:before="27"/>
              <w:ind w:left="537"/>
              <w:rPr>
                <w:sz w:val="20"/>
              </w:rPr>
            </w:pPr>
            <w:r>
              <w:rPr>
                <w:sz w:val="20"/>
              </w:rPr>
              <w:t>是否要求中标人提交履约保证金：</w:t>
            </w:r>
          </w:p>
          <w:p>
            <w:pPr>
              <w:pStyle w:val="TableParagraph"/>
              <w:spacing w:line="244" w:lineRule="auto" w:before="24"/>
              <w:ind w:left="537" w:right="3409" w:firstLine="16"/>
              <w:rPr>
                <w:sz w:val="20"/>
              </w:rPr>
            </w:pPr>
            <w:r>
              <w:rPr>
                <w:sz w:val="20"/>
              </w:rPr>
              <w:t>□要求，履约保证金的形式： 履约保证金的金额：</w:t>
            </w:r>
          </w:p>
          <w:p>
            <w:pPr>
              <w:pStyle w:val="TableParagraph"/>
              <w:spacing w:line="249" w:lineRule="exact" w:before="8"/>
              <w:ind w:left="542"/>
              <w:rPr>
                <w:rFonts w:ascii="黑体" w:hAnsi="黑体" w:eastAsia="黑体" w:hint="eastAsia"/>
                <w:sz w:val="20"/>
              </w:rPr>
            </w:pPr>
            <w:r>
              <w:rPr>
                <w:rFonts w:ascii="MS UI Gothic" w:hAnsi="MS UI Gothic" w:eastAsia="MS UI Gothic" w:hint="eastAsia"/>
                <w:sz w:val="20"/>
              </w:rPr>
              <w:t>☑</w:t>
            </w:r>
            <w:r>
              <w:rPr>
                <w:rFonts w:ascii="黑体" w:hAnsi="黑体" w:eastAsia="黑体" w:hint="eastAsia"/>
                <w:sz w:val="20"/>
              </w:rPr>
              <w:t>不要求</w:t>
            </w:r>
          </w:p>
        </w:tc>
      </w:tr>
      <w:tr>
        <w:trPr>
          <w:trHeight w:val="1659" w:hRule="atLeast"/>
        </w:trPr>
        <w:tc>
          <w:tcPr>
            <w:tcW w:w="1168" w:type="dxa"/>
          </w:tcPr>
          <w:p>
            <w:pPr>
              <w:pStyle w:val="TableParagraph"/>
              <w:rPr>
                <w:b/>
                <w:sz w:val="22"/>
              </w:rPr>
            </w:pPr>
          </w:p>
          <w:p>
            <w:pPr>
              <w:pStyle w:val="TableParagraph"/>
              <w:rPr>
                <w:b/>
                <w:sz w:val="22"/>
              </w:rPr>
            </w:pPr>
          </w:p>
          <w:p>
            <w:pPr>
              <w:pStyle w:val="TableParagraph"/>
              <w:spacing w:before="162"/>
              <w:ind w:right="426"/>
              <w:jc w:val="right"/>
              <w:rPr>
                <w:rFonts w:ascii="Times New Roman"/>
                <w:sz w:val="20"/>
              </w:rPr>
            </w:pPr>
            <w:r>
              <w:rPr>
                <w:rFonts w:ascii="Times New Roman"/>
                <w:sz w:val="20"/>
              </w:rPr>
              <w:t>44</w:t>
            </w:r>
          </w:p>
        </w:tc>
        <w:tc>
          <w:tcPr>
            <w:tcW w:w="2098" w:type="dxa"/>
          </w:tcPr>
          <w:p>
            <w:pPr>
              <w:pStyle w:val="TableParagraph"/>
              <w:rPr>
                <w:b/>
                <w:sz w:val="20"/>
              </w:rPr>
            </w:pPr>
          </w:p>
          <w:p>
            <w:pPr>
              <w:pStyle w:val="TableParagraph"/>
              <w:spacing w:before="8"/>
              <w:rPr>
                <w:b/>
                <w:sz w:val="25"/>
              </w:rPr>
            </w:pPr>
          </w:p>
          <w:p>
            <w:pPr>
              <w:pStyle w:val="TableParagraph"/>
              <w:spacing w:line="244" w:lineRule="auto"/>
              <w:ind w:left="844" w:right="197" w:hanging="648"/>
              <w:rPr>
                <w:sz w:val="20"/>
              </w:rPr>
            </w:pPr>
            <w:r>
              <w:rPr>
                <w:sz w:val="20"/>
              </w:rPr>
              <w:t>是否采用电子招标投标</w:t>
            </w:r>
          </w:p>
        </w:tc>
        <w:tc>
          <w:tcPr>
            <w:tcW w:w="6603" w:type="dxa"/>
          </w:tcPr>
          <w:p>
            <w:pPr>
              <w:pStyle w:val="TableParagraph"/>
              <w:spacing w:before="28"/>
              <w:ind w:left="554"/>
              <w:rPr>
                <w:sz w:val="20"/>
              </w:rPr>
            </w:pPr>
            <w:r>
              <w:rPr>
                <w:sz w:val="20"/>
              </w:rPr>
              <w:t>□否</w:t>
            </w:r>
          </w:p>
          <w:p>
            <w:pPr>
              <w:pStyle w:val="TableParagraph"/>
              <w:spacing w:line="256" w:lineRule="auto" w:before="15"/>
              <w:ind w:left="532" w:right="4208" w:firstLine="9"/>
              <w:rPr>
                <w:sz w:val="20"/>
              </w:rPr>
            </w:pPr>
            <w:r>
              <w:rPr>
                <w:rFonts w:ascii="MS Gothic" w:hAnsi="MS Gothic" w:eastAsia="MS Gothic" w:hint="eastAsia"/>
                <w:spacing w:val="5"/>
                <w:sz w:val="20"/>
              </w:rPr>
              <w:t>☑</w:t>
            </w:r>
            <w:r>
              <w:rPr>
                <w:spacing w:val="3"/>
                <w:sz w:val="20"/>
              </w:rPr>
              <w:t>是，具体要求： </w:t>
            </w:r>
            <w:r>
              <w:rPr>
                <w:spacing w:val="5"/>
                <w:w w:val="95"/>
                <w:sz w:val="20"/>
              </w:rPr>
              <w:t>采用电子招标投标。</w:t>
            </w:r>
          </w:p>
          <w:p>
            <w:pPr>
              <w:pStyle w:val="TableParagraph"/>
              <w:spacing w:line="242" w:lineRule="auto" w:before="11"/>
              <w:ind w:left="138" w:right="219" w:firstLine="396"/>
              <w:rPr>
                <w:sz w:val="20"/>
              </w:rPr>
            </w:pPr>
            <w:r>
              <w:rPr>
                <w:sz w:val="20"/>
              </w:rPr>
              <w:t>本项目为电子招投标，投标人需提供电子投标文件。评审时依据电子投标文件进行评审：</w:t>
            </w:r>
          </w:p>
          <w:p>
            <w:pPr>
              <w:pStyle w:val="TableParagraph"/>
              <w:spacing w:line="247" w:lineRule="exact" w:before="15"/>
              <w:ind w:left="549"/>
              <w:rPr>
                <w:sz w:val="20"/>
              </w:rPr>
            </w:pPr>
            <w:r>
              <w:rPr>
                <w:rFonts w:ascii="Times New Roman" w:eastAsia="Times New Roman"/>
                <w:sz w:val="20"/>
              </w:rPr>
              <w:t>1 </w:t>
            </w:r>
            <w:r>
              <w:rPr>
                <w:sz w:val="20"/>
              </w:rPr>
              <w:t>、投标截止时间：2025 年 7 月 7 日上午08时 30 分,投标人应</w:t>
            </w:r>
          </w:p>
        </w:tc>
      </w:tr>
    </w:tbl>
    <w:p>
      <w:pPr>
        <w:spacing w:after="0" w:line="247" w:lineRule="exact"/>
        <w:rPr>
          <w:sz w:val="20"/>
        </w:rPr>
        <w:sectPr>
          <w:pgSz w:w="11910" w:h="16840"/>
          <w:pgMar w:header="0" w:footer="690" w:top="1400" w:bottom="880" w:left="1300" w:right="500"/>
        </w:sect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68"/>
        <w:gridCol w:w="2098"/>
        <w:gridCol w:w="6603"/>
      </w:tblGrid>
      <w:tr>
        <w:trPr>
          <w:trHeight w:val="11268" w:hRule="atLeast"/>
        </w:trPr>
        <w:tc>
          <w:tcPr>
            <w:tcW w:w="1168" w:type="dxa"/>
          </w:tcPr>
          <w:p>
            <w:pPr>
              <w:pStyle w:val="TableParagraph"/>
              <w:rPr>
                <w:rFonts w:ascii="Times New Roman"/>
                <w:sz w:val="18"/>
              </w:rPr>
            </w:pPr>
          </w:p>
        </w:tc>
        <w:tc>
          <w:tcPr>
            <w:tcW w:w="2098" w:type="dxa"/>
          </w:tcPr>
          <w:p>
            <w:pPr>
              <w:pStyle w:val="TableParagraph"/>
              <w:rPr>
                <w:rFonts w:ascii="Times New Roman"/>
                <w:sz w:val="18"/>
              </w:rPr>
            </w:pPr>
          </w:p>
        </w:tc>
        <w:tc>
          <w:tcPr>
            <w:tcW w:w="6603" w:type="dxa"/>
          </w:tcPr>
          <w:p>
            <w:pPr>
              <w:pStyle w:val="TableParagraph"/>
              <w:spacing w:before="35"/>
              <w:ind w:left="112"/>
              <w:rPr>
                <w:sz w:val="20"/>
              </w:rPr>
            </w:pPr>
            <w:r>
              <w:rPr>
                <w:sz w:val="20"/>
              </w:rPr>
              <w:t>在投标截止时间前，登录招标通电子招投标交易平台（https://www</w:t>
            </w:r>
          </w:p>
          <w:p>
            <w:pPr>
              <w:pStyle w:val="TableParagraph"/>
              <w:spacing w:before="5"/>
              <w:ind w:left="114"/>
              <w:rPr>
                <w:sz w:val="20"/>
              </w:rPr>
            </w:pPr>
            <w:r>
              <w:rPr>
                <w:sz w:val="20"/>
              </w:rPr>
              <w:t>.hebztb.com/制作和加密、递交电子投标文件。</w:t>
            </w:r>
          </w:p>
          <w:p>
            <w:pPr>
              <w:pStyle w:val="TableParagraph"/>
              <w:spacing w:before="34"/>
              <w:ind w:left="110"/>
              <w:rPr>
                <w:sz w:val="20"/>
              </w:rPr>
            </w:pPr>
            <w:r>
              <w:rPr>
                <w:rFonts w:ascii="Times New Roman" w:eastAsia="Times New Roman"/>
                <w:sz w:val="20"/>
              </w:rPr>
              <w:t>2 </w:t>
            </w:r>
            <w:r>
              <w:rPr>
                <w:sz w:val="20"/>
              </w:rPr>
              <w:t>、本项目电子投标文件解密截止时间为：</w:t>
            </w:r>
            <w:r>
              <w:rPr>
                <w:rFonts w:ascii="Times New Roman" w:eastAsia="Times New Roman"/>
                <w:sz w:val="20"/>
              </w:rPr>
              <w:t>2025 </w:t>
            </w:r>
            <w:r>
              <w:rPr>
                <w:sz w:val="20"/>
              </w:rPr>
              <w:t>年 </w:t>
            </w:r>
            <w:r>
              <w:rPr>
                <w:rFonts w:ascii="Times New Roman" w:eastAsia="Times New Roman"/>
                <w:sz w:val="20"/>
              </w:rPr>
              <w:t>7 </w:t>
            </w:r>
            <w:r>
              <w:rPr>
                <w:sz w:val="20"/>
              </w:rPr>
              <w:t>月 7 日上午 </w:t>
            </w:r>
            <w:r>
              <w:rPr>
                <w:rFonts w:ascii="Times New Roman" w:eastAsia="Times New Roman"/>
                <w:sz w:val="20"/>
              </w:rPr>
              <w:t>09</w:t>
            </w:r>
            <w:r>
              <w:rPr>
                <w:sz w:val="20"/>
              </w:rPr>
              <w:t>时</w:t>
            </w:r>
          </w:p>
          <w:p>
            <w:pPr>
              <w:pStyle w:val="TableParagraph"/>
              <w:spacing w:line="247" w:lineRule="auto" w:before="8"/>
              <w:ind w:left="117" w:right="181"/>
              <w:rPr>
                <w:sz w:val="20"/>
              </w:rPr>
            </w:pPr>
            <w:r>
              <w:rPr>
                <w:rFonts w:ascii="Times New Roman" w:eastAsia="Times New Roman"/>
                <w:sz w:val="20"/>
              </w:rPr>
              <w:t>00 </w:t>
            </w:r>
            <w:r>
              <w:rPr>
                <w:sz w:val="20"/>
              </w:rPr>
              <w:t>分，投标人需在开标当日的解密截止时间之前进入招标通电子招投标交易平台，对递交的电子投标文件进行标书解密。</w:t>
            </w:r>
          </w:p>
          <w:p>
            <w:pPr>
              <w:pStyle w:val="TableParagraph"/>
              <w:ind w:left="534"/>
              <w:rPr>
                <w:sz w:val="20"/>
              </w:rPr>
            </w:pPr>
            <w:r>
              <w:rPr>
                <w:rFonts w:ascii="Times New Roman" w:eastAsia="Times New Roman"/>
                <w:sz w:val="20"/>
              </w:rPr>
              <w:t>(</w:t>
            </w:r>
            <w:r>
              <w:rPr>
                <w:sz w:val="20"/>
              </w:rPr>
              <w:t>一</w:t>
            </w:r>
            <w:r>
              <w:rPr>
                <w:rFonts w:ascii="Times New Roman" w:eastAsia="Times New Roman"/>
                <w:sz w:val="20"/>
              </w:rPr>
              <w:t>) </w:t>
            </w:r>
            <w:r>
              <w:rPr>
                <w:sz w:val="20"/>
              </w:rPr>
              <w:t>具体要求：</w:t>
            </w:r>
          </w:p>
          <w:p>
            <w:pPr>
              <w:pStyle w:val="TableParagraph"/>
              <w:numPr>
                <w:ilvl w:val="0"/>
                <w:numId w:val="7"/>
              </w:numPr>
              <w:tabs>
                <w:tab w:pos="682" w:val="left" w:leader="none"/>
              </w:tabs>
              <w:spacing w:line="244" w:lineRule="auto" w:before="49" w:after="0"/>
              <w:ind w:left="114" w:right="308" w:firstLine="435"/>
              <w:jc w:val="left"/>
              <w:rPr>
                <w:sz w:val="20"/>
              </w:rPr>
            </w:pPr>
            <w:r>
              <w:rPr>
                <w:spacing w:val="5"/>
                <w:sz w:val="20"/>
              </w:rPr>
              <w:t>、解密顺序为：解密时间到达后，由招标代理机构开启远程解</w:t>
            </w:r>
            <w:r>
              <w:rPr>
                <w:spacing w:val="6"/>
                <w:sz w:val="20"/>
              </w:rPr>
              <w:t>密操作，然后投标人自行对电子投标文件进行解密。</w:t>
            </w:r>
          </w:p>
          <w:p>
            <w:pPr>
              <w:pStyle w:val="TableParagraph"/>
              <w:numPr>
                <w:ilvl w:val="0"/>
                <w:numId w:val="7"/>
              </w:numPr>
              <w:tabs>
                <w:tab w:pos="663" w:val="left" w:leader="none"/>
              </w:tabs>
              <w:spacing w:line="252" w:lineRule="auto" w:before="31" w:after="0"/>
              <w:ind w:left="114" w:right="214" w:firstLine="416"/>
              <w:jc w:val="left"/>
              <w:rPr>
                <w:sz w:val="20"/>
              </w:rPr>
            </w:pPr>
            <w:r>
              <w:rPr>
                <w:spacing w:val="5"/>
                <w:sz w:val="20"/>
              </w:rPr>
              <w:t>、解密时间到达后，由招标代理机构开启远程解密操作，然后</w:t>
            </w:r>
            <w:r>
              <w:rPr>
                <w:spacing w:val="6"/>
                <w:sz w:val="20"/>
              </w:rPr>
              <w:t>投标人自行对电子投标文件进行解密。投标人应于投标截止时间之前</w:t>
            </w:r>
            <w:r>
              <w:rPr>
                <w:spacing w:val="7"/>
                <w:sz w:val="20"/>
              </w:rPr>
              <w:t>通过招标通电子招投标交易平台（https://</w:t>
            </w:r>
            <w:hyperlink r:id="rId18">
              <w:r>
                <w:rPr>
                  <w:spacing w:val="7"/>
                  <w:sz w:val="20"/>
                </w:rPr>
                <w:t>www.hebztb.com/</w:t>
              </w:r>
              <w:r>
                <w:rPr>
                  <w:spacing w:val="5"/>
                  <w:sz w:val="20"/>
                </w:rPr>
                <w:t>上传的</w:t>
              </w:r>
            </w:hyperlink>
            <w:r>
              <w:rPr>
                <w:spacing w:val="7"/>
                <w:sz w:val="20"/>
              </w:rPr>
              <w:t>加密电子文件</w:t>
            </w:r>
            <w:r>
              <w:rPr>
                <w:rFonts w:ascii="Times New Roman" w:eastAsia="Times New Roman"/>
                <w:spacing w:val="6"/>
                <w:sz w:val="20"/>
              </w:rPr>
              <w:t>(</w:t>
            </w:r>
            <w:r>
              <w:rPr>
                <w:spacing w:val="3"/>
                <w:sz w:val="20"/>
              </w:rPr>
              <w:t>需使用投标人的河北 </w:t>
            </w:r>
            <w:r>
              <w:rPr>
                <w:rFonts w:ascii="Times New Roman" w:eastAsia="Times New Roman"/>
                <w:sz w:val="20"/>
              </w:rPr>
              <w:t>CA</w:t>
            </w:r>
            <w:r>
              <w:rPr>
                <w:rFonts w:ascii="Times New Roman" w:eastAsia="Times New Roman"/>
                <w:spacing w:val="1"/>
                <w:sz w:val="20"/>
              </w:rPr>
              <w:t> </w:t>
            </w:r>
            <w:r>
              <w:rPr>
                <w:spacing w:val="5"/>
                <w:sz w:val="20"/>
              </w:rPr>
              <w:t>锁电子证书进行加密</w:t>
            </w:r>
            <w:r>
              <w:rPr>
                <w:rFonts w:ascii="Times New Roman" w:eastAsia="Times New Roman"/>
                <w:spacing w:val="22"/>
                <w:sz w:val="20"/>
              </w:rPr>
              <w:t>) </w:t>
            </w:r>
            <w:r>
              <w:rPr>
                <w:spacing w:val="2"/>
                <w:sz w:val="20"/>
              </w:rPr>
              <w:t>。并在</w:t>
            </w:r>
            <w:r>
              <w:rPr>
                <w:spacing w:val="5"/>
                <w:sz w:val="20"/>
              </w:rPr>
              <w:t>开标时间内对投标文件进行解密</w:t>
            </w:r>
            <w:r>
              <w:rPr>
                <w:rFonts w:ascii="Times New Roman" w:eastAsia="Times New Roman"/>
                <w:spacing w:val="6"/>
                <w:sz w:val="20"/>
              </w:rPr>
              <w:t>(</w:t>
            </w:r>
            <w:r>
              <w:rPr>
                <w:spacing w:val="-3"/>
                <w:sz w:val="20"/>
              </w:rPr>
              <w:t>需用河北 </w:t>
            </w:r>
            <w:r>
              <w:rPr>
                <w:rFonts w:ascii="Times New Roman" w:eastAsia="Times New Roman"/>
                <w:sz w:val="20"/>
              </w:rPr>
              <w:t>CA</w:t>
            </w:r>
            <w:r>
              <w:rPr>
                <w:rFonts w:ascii="Times New Roman" w:eastAsia="Times New Roman"/>
                <w:spacing w:val="8"/>
                <w:sz w:val="20"/>
              </w:rPr>
              <w:t> </w:t>
            </w:r>
            <w:r>
              <w:rPr>
                <w:spacing w:val="7"/>
                <w:sz w:val="20"/>
              </w:rPr>
              <w:t>锁</w:t>
            </w:r>
            <w:r>
              <w:rPr>
                <w:rFonts w:ascii="Times New Roman" w:eastAsia="Times New Roman"/>
                <w:spacing w:val="-11"/>
                <w:sz w:val="20"/>
              </w:rPr>
              <w:t>) </w:t>
            </w:r>
            <w:r>
              <w:rPr>
                <w:spacing w:val="5"/>
                <w:sz w:val="20"/>
              </w:rPr>
              <w:t>，需远程操作，但对远程操作未能成功解密的，由投标单位自行承担责任，其投标文件</w:t>
            </w:r>
            <w:r>
              <w:rPr>
                <w:spacing w:val="3"/>
                <w:sz w:val="20"/>
              </w:rPr>
              <w:t>将不予受理。</w:t>
            </w:r>
          </w:p>
          <w:p>
            <w:pPr>
              <w:pStyle w:val="TableParagraph"/>
              <w:numPr>
                <w:ilvl w:val="0"/>
                <w:numId w:val="7"/>
              </w:numPr>
              <w:tabs>
                <w:tab w:pos="682" w:val="left" w:leader="none"/>
              </w:tabs>
              <w:spacing w:line="240" w:lineRule="auto" w:before="37" w:after="0"/>
              <w:ind w:left="681" w:right="0" w:hanging="147"/>
              <w:jc w:val="left"/>
              <w:rPr>
                <w:sz w:val="20"/>
              </w:rPr>
            </w:pPr>
            <w:r>
              <w:rPr>
                <w:spacing w:val="5"/>
                <w:sz w:val="20"/>
              </w:rPr>
              <w:t>、解密截止时间后，因投标人原因造成电子投标文件未解密的</w:t>
            </w:r>
          </w:p>
          <w:p>
            <w:pPr>
              <w:pStyle w:val="TableParagraph"/>
              <w:spacing w:before="3"/>
              <w:ind w:left="129"/>
              <w:rPr>
                <w:sz w:val="20"/>
              </w:rPr>
            </w:pPr>
            <w:r>
              <w:rPr>
                <w:sz w:val="20"/>
              </w:rPr>
              <w:t>, 视为撤销其投标文件，相应后果由投标人自行承担。</w:t>
            </w:r>
          </w:p>
          <w:p>
            <w:pPr>
              <w:pStyle w:val="TableParagraph"/>
              <w:numPr>
                <w:ilvl w:val="0"/>
                <w:numId w:val="7"/>
              </w:numPr>
              <w:tabs>
                <w:tab w:pos="663" w:val="left" w:leader="none"/>
              </w:tabs>
              <w:spacing w:line="252" w:lineRule="auto" w:before="34" w:after="0"/>
              <w:ind w:left="112" w:right="202" w:firstLine="415"/>
              <w:jc w:val="left"/>
              <w:rPr>
                <w:rFonts w:ascii="Times New Roman" w:eastAsia="Times New Roman"/>
                <w:sz w:val="20"/>
              </w:rPr>
            </w:pPr>
            <w:r>
              <w:rPr>
                <w:spacing w:val="5"/>
                <w:sz w:val="20"/>
              </w:rPr>
              <w:t>、投标人应在电子投标文件相应位置盖单位电子印章、法定代</w:t>
            </w:r>
            <w:r>
              <w:rPr>
                <w:spacing w:val="7"/>
                <w:sz w:val="20"/>
              </w:rPr>
              <w:t>表人法人电子印章或签字</w:t>
            </w:r>
            <w:r>
              <w:rPr>
                <w:rFonts w:ascii="Times New Roman" w:eastAsia="Times New Roman"/>
                <w:spacing w:val="10"/>
                <w:sz w:val="20"/>
              </w:rPr>
              <w:t>,</w:t>
            </w:r>
            <w:r>
              <w:rPr>
                <w:spacing w:val="6"/>
                <w:sz w:val="20"/>
              </w:rPr>
              <w:t>委托代理人签字为亲笔签字。若为联合体投标，需提供联合体成员盖章的联合体协议书，其他资料都只需联合</w:t>
            </w:r>
            <w:r>
              <w:rPr>
                <w:spacing w:val="7"/>
                <w:sz w:val="20"/>
              </w:rPr>
              <w:t>体牵头人单位盖章即可。</w:t>
            </w:r>
            <w:r>
              <w:rPr>
                <w:rFonts w:ascii="Times New Roman" w:eastAsia="Times New Roman"/>
                <w:spacing w:val="6"/>
                <w:sz w:val="20"/>
              </w:rPr>
              <w:t>(</w:t>
            </w:r>
            <w:r>
              <w:rPr>
                <w:spacing w:val="6"/>
                <w:sz w:val="20"/>
              </w:rPr>
              <w:t>本项目法定代表人签字指法定代表人亲笔</w:t>
            </w:r>
            <w:r>
              <w:rPr>
                <w:spacing w:val="7"/>
                <w:sz w:val="20"/>
              </w:rPr>
              <w:t>签字或法定，代表人电子手签章。</w:t>
            </w:r>
            <w:r>
              <w:rPr>
                <w:rFonts w:ascii="Times New Roman" w:eastAsia="Times New Roman"/>
                <w:sz w:val="20"/>
              </w:rPr>
              <w:t>)</w:t>
            </w:r>
          </w:p>
          <w:p>
            <w:pPr>
              <w:pStyle w:val="TableParagraph"/>
              <w:spacing w:line="266" w:lineRule="auto"/>
              <w:ind w:left="112" w:right="375" w:firstLine="422"/>
              <w:rPr>
                <w:rFonts w:ascii="Times New Roman" w:eastAsia="Times New Roman"/>
                <w:sz w:val="20"/>
              </w:rPr>
            </w:pPr>
            <w:r>
              <w:rPr>
                <w:rFonts w:ascii="Times New Roman" w:eastAsia="Times New Roman"/>
                <w:sz w:val="20"/>
              </w:rPr>
              <w:t>(</w:t>
            </w:r>
            <w:r>
              <w:rPr>
                <w:sz w:val="20"/>
              </w:rPr>
              <w:t>河北 </w:t>
            </w:r>
            <w:r>
              <w:rPr>
                <w:rFonts w:ascii="Times New Roman" w:eastAsia="Times New Roman"/>
                <w:sz w:val="20"/>
              </w:rPr>
              <w:t>CA </w:t>
            </w:r>
            <w:r>
              <w:rPr>
                <w:sz w:val="20"/>
              </w:rPr>
              <w:t>提供：单位电子印章，法定代表人电子印章，法定代表人电子手签章</w:t>
            </w:r>
            <w:r>
              <w:rPr>
                <w:rFonts w:ascii="Times New Roman" w:eastAsia="Times New Roman"/>
                <w:sz w:val="20"/>
              </w:rPr>
              <w:t>)</w:t>
            </w:r>
          </w:p>
          <w:p>
            <w:pPr>
              <w:pStyle w:val="TableParagraph"/>
              <w:numPr>
                <w:ilvl w:val="0"/>
                <w:numId w:val="7"/>
              </w:numPr>
              <w:tabs>
                <w:tab w:pos="684" w:val="left" w:leader="none"/>
              </w:tabs>
              <w:spacing w:line="247" w:lineRule="auto" w:before="11" w:after="0"/>
              <w:ind w:left="114" w:right="222" w:firstLine="420"/>
              <w:jc w:val="left"/>
              <w:rPr>
                <w:sz w:val="20"/>
              </w:rPr>
            </w:pPr>
            <w:r>
              <w:rPr>
                <w:spacing w:val="5"/>
                <w:sz w:val="20"/>
              </w:rPr>
              <w:t>、招标人认为自修改、澄清文件在电子平台发布之时，各投标</w:t>
            </w:r>
            <w:r>
              <w:rPr>
                <w:spacing w:val="6"/>
                <w:sz w:val="20"/>
              </w:rPr>
              <w:t>人即已收悉。投标人应注意及时浏览网上发出的修改、澄清，因投标人自身原因未及时获知内容导致的任何后果将由投标人自行承担。</w:t>
            </w:r>
          </w:p>
          <w:p>
            <w:pPr>
              <w:pStyle w:val="TableParagraph"/>
              <w:ind w:left="534"/>
              <w:rPr>
                <w:sz w:val="20"/>
              </w:rPr>
            </w:pPr>
            <w:r>
              <w:rPr>
                <w:rFonts w:ascii="Times New Roman" w:eastAsia="Times New Roman"/>
                <w:sz w:val="20"/>
              </w:rPr>
              <w:t>(</w:t>
            </w:r>
            <w:r>
              <w:rPr>
                <w:sz w:val="20"/>
              </w:rPr>
              <w:t>二</w:t>
            </w:r>
            <w:r>
              <w:rPr>
                <w:rFonts w:ascii="Times New Roman" w:eastAsia="Times New Roman"/>
                <w:sz w:val="20"/>
              </w:rPr>
              <w:t>) </w:t>
            </w:r>
            <w:r>
              <w:rPr>
                <w:sz w:val="20"/>
              </w:rPr>
              <w:t>其他事项：</w:t>
            </w:r>
          </w:p>
          <w:p>
            <w:pPr>
              <w:pStyle w:val="TableParagraph"/>
              <w:spacing w:line="259" w:lineRule="auto" w:before="22"/>
              <w:ind w:left="112" w:right="378" w:firstLine="422"/>
              <w:rPr>
                <w:sz w:val="20"/>
              </w:rPr>
            </w:pPr>
            <w:r>
              <w:rPr>
                <w:rFonts w:ascii="Times New Roman" w:eastAsia="Times New Roman"/>
                <w:sz w:val="20"/>
              </w:rPr>
              <w:t>( 1)</w:t>
            </w:r>
            <w:r>
              <w:rPr>
                <w:sz w:val="20"/>
              </w:rPr>
              <w:t>因投标人自身原因造成电子投标文件不能解密且采取补救措施仍无法正常开启的，则视其投标文件为无效投标文件。</w:t>
            </w:r>
          </w:p>
          <w:p>
            <w:pPr>
              <w:pStyle w:val="TableParagraph"/>
              <w:spacing w:line="259" w:lineRule="auto"/>
              <w:ind w:left="112" w:right="378" w:firstLine="422"/>
              <w:rPr>
                <w:sz w:val="20"/>
              </w:rPr>
            </w:pPr>
            <w:r>
              <w:rPr>
                <w:rFonts w:ascii="Times New Roman" w:eastAsia="Times New Roman"/>
                <w:sz w:val="20"/>
              </w:rPr>
              <w:t>(2)</w:t>
            </w:r>
            <w:r>
              <w:rPr>
                <w:sz w:val="20"/>
              </w:rPr>
              <w:t>当出现以下情况时，应暂时中止电子开标，并在恢复正常后及时继续开标活动：</w:t>
            </w:r>
          </w:p>
          <w:p>
            <w:pPr>
              <w:pStyle w:val="TableParagraph"/>
              <w:spacing w:line="256" w:lineRule="auto"/>
              <w:ind w:left="2" w:right="270" w:firstLine="547"/>
              <w:rPr>
                <w:sz w:val="20"/>
              </w:rPr>
            </w:pPr>
            <w:r>
              <w:rPr>
                <w:rFonts w:ascii="Times New Roman" w:eastAsia="Times New Roman"/>
                <w:sz w:val="20"/>
              </w:rPr>
              <w:t>1)</w:t>
            </w:r>
            <w:r>
              <w:rPr>
                <w:sz w:val="20"/>
              </w:rPr>
              <w:t>因招标通电子招投标交易平台（https://</w:t>
            </w:r>
            <w:hyperlink r:id="rId19">
              <w:r>
                <w:rPr>
                  <w:sz w:val="20"/>
                </w:rPr>
                <w:t>www.hebztb.com/系</w:t>
              </w:r>
            </w:hyperlink>
            <w:r>
              <w:rPr>
                <w:sz w:val="20"/>
              </w:rPr>
              <w:t>统原因，暂时无法正常使用的情况；</w:t>
            </w:r>
          </w:p>
          <w:p>
            <w:pPr>
              <w:pStyle w:val="TableParagraph"/>
              <w:spacing w:line="255" w:lineRule="exact"/>
              <w:ind w:left="530"/>
              <w:rPr>
                <w:sz w:val="20"/>
              </w:rPr>
            </w:pPr>
            <w:r>
              <w:rPr>
                <w:rFonts w:ascii="Times New Roman" w:eastAsia="Times New Roman"/>
                <w:sz w:val="20"/>
              </w:rPr>
              <w:t>2)</w:t>
            </w:r>
            <w:r>
              <w:rPr>
                <w:sz w:val="20"/>
              </w:rPr>
              <w:t>开标现场出现短时间断电断网等影响招标代理正常开标的事故</w:t>
            </w:r>
          </w:p>
          <w:p>
            <w:pPr>
              <w:pStyle w:val="TableParagraph"/>
              <w:spacing w:line="247" w:lineRule="exact" w:before="50"/>
              <w:ind w:left="134"/>
              <w:rPr>
                <w:sz w:val="20"/>
              </w:rPr>
            </w:pPr>
            <w:r>
              <w:rPr>
                <w:w w:val="99"/>
                <w:sz w:val="20"/>
              </w:rPr>
              <w:t>。</w:t>
            </w:r>
          </w:p>
          <w:p>
            <w:pPr>
              <w:pStyle w:val="TableParagraph"/>
              <w:spacing w:line="247" w:lineRule="exact"/>
              <w:ind w:left="534"/>
              <w:rPr>
                <w:sz w:val="20"/>
              </w:rPr>
            </w:pPr>
            <w:r>
              <w:rPr>
                <w:rFonts w:ascii="Times New Roman" w:eastAsia="Times New Roman"/>
                <w:sz w:val="20"/>
              </w:rPr>
              <w:t>(</w:t>
            </w:r>
            <w:r>
              <w:rPr>
                <w:sz w:val="20"/>
              </w:rPr>
              <w:t>三</w:t>
            </w:r>
            <w:r>
              <w:rPr>
                <w:rFonts w:ascii="Times New Roman" w:eastAsia="Times New Roman"/>
                <w:sz w:val="20"/>
              </w:rPr>
              <w:t>) </w:t>
            </w:r>
            <w:r>
              <w:rPr>
                <w:sz w:val="20"/>
              </w:rPr>
              <w:t>告知：</w:t>
            </w:r>
          </w:p>
          <w:p>
            <w:pPr>
              <w:pStyle w:val="TableParagraph"/>
              <w:spacing w:line="256" w:lineRule="auto" w:before="23"/>
              <w:ind w:left="112" w:right="202" w:firstLine="422"/>
              <w:rPr>
                <w:sz w:val="20"/>
              </w:rPr>
            </w:pPr>
            <w:r>
              <w:rPr>
                <w:rFonts w:ascii="Times New Roman" w:eastAsia="Times New Roman"/>
                <w:sz w:val="20"/>
              </w:rPr>
              <w:t>( 1) </w:t>
            </w:r>
            <w:r>
              <w:rPr>
                <w:sz w:val="20"/>
              </w:rPr>
              <w:t>根据《电子招投标办法》的第二十七条，您应当在投标截止时间前完成投标文件的传输递交。投标截止时间前未完成投标文件传输的，视为撤回投标文件。投标截止时间后送达的投标文件，本平台</w:t>
            </w:r>
          </w:p>
          <w:p>
            <w:pPr>
              <w:pStyle w:val="TableParagraph"/>
              <w:spacing w:line="247" w:lineRule="exact"/>
              <w:ind w:left="112"/>
              <w:rPr>
                <w:sz w:val="20"/>
              </w:rPr>
            </w:pPr>
            <w:r>
              <w:rPr>
                <w:sz w:val="20"/>
              </w:rPr>
              <w:t>拒收。故请您根据自身投标文件的大小，提前进行文件投递。</w:t>
            </w:r>
          </w:p>
        </w:tc>
      </w:tr>
      <w:tr>
        <w:trPr>
          <w:trHeight w:val="2487" w:hRule="atLeast"/>
        </w:trPr>
        <w:tc>
          <w:tcPr>
            <w:tcW w:w="1168" w:type="dxa"/>
          </w:tcPr>
          <w:p>
            <w:pPr>
              <w:pStyle w:val="TableParagraph"/>
              <w:rPr>
                <w:b/>
                <w:sz w:val="22"/>
              </w:rPr>
            </w:pPr>
          </w:p>
          <w:p>
            <w:pPr>
              <w:pStyle w:val="TableParagraph"/>
              <w:rPr>
                <w:b/>
                <w:sz w:val="22"/>
              </w:rPr>
            </w:pPr>
          </w:p>
          <w:p>
            <w:pPr>
              <w:pStyle w:val="TableParagraph"/>
              <w:rPr>
                <w:b/>
                <w:sz w:val="22"/>
              </w:rPr>
            </w:pPr>
          </w:p>
          <w:p>
            <w:pPr>
              <w:pStyle w:val="TableParagraph"/>
              <w:spacing w:before="11"/>
              <w:rPr>
                <w:b/>
                <w:sz w:val="22"/>
              </w:rPr>
            </w:pPr>
          </w:p>
          <w:p>
            <w:pPr>
              <w:pStyle w:val="TableParagraph"/>
              <w:ind w:left="259" w:right="153"/>
              <w:jc w:val="center"/>
              <w:rPr>
                <w:rFonts w:ascii="Times New Roman"/>
                <w:sz w:val="20"/>
              </w:rPr>
            </w:pPr>
            <w:r>
              <w:rPr>
                <w:rFonts w:ascii="Times New Roman"/>
                <w:sz w:val="20"/>
              </w:rPr>
              <w:t>45</w:t>
            </w:r>
          </w:p>
        </w:tc>
        <w:tc>
          <w:tcPr>
            <w:tcW w:w="2098" w:type="dxa"/>
          </w:tcPr>
          <w:p>
            <w:pPr>
              <w:pStyle w:val="TableParagraph"/>
              <w:rPr>
                <w:b/>
                <w:sz w:val="20"/>
              </w:rPr>
            </w:pPr>
          </w:p>
          <w:p>
            <w:pPr>
              <w:pStyle w:val="TableParagraph"/>
              <w:rPr>
                <w:b/>
                <w:sz w:val="20"/>
              </w:rPr>
            </w:pPr>
          </w:p>
          <w:p>
            <w:pPr>
              <w:pStyle w:val="TableParagraph"/>
              <w:rPr>
                <w:b/>
                <w:sz w:val="20"/>
              </w:rPr>
            </w:pPr>
          </w:p>
          <w:p>
            <w:pPr>
              <w:pStyle w:val="TableParagraph"/>
              <w:rPr>
                <w:b/>
                <w:sz w:val="28"/>
              </w:rPr>
            </w:pPr>
          </w:p>
          <w:p>
            <w:pPr>
              <w:pStyle w:val="TableParagraph"/>
              <w:ind w:left="124"/>
              <w:rPr>
                <w:sz w:val="20"/>
              </w:rPr>
            </w:pPr>
            <w:r>
              <w:rPr>
                <w:sz w:val="20"/>
              </w:rPr>
              <w:t>需要补充的其他内容</w:t>
            </w:r>
          </w:p>
        </w:tc>
        <w:tc>
          <w:tcPr>
            <w:tcW w:w="6603" w:type="dxa"/>
          </w:tcPr>
          <w:p>
            <w:pPr>
              <w:pStyle w:val="TableParagraph"/>
              <w:spacing w:before="5"/>
              <w:ind w:left="534"/>
              <w:rPr>
                <w:sz w:val="20"/>
              </w:rPr>
            </w:pPr>
            <w:r>
              <w:rPr>
                <w:rFonts w:ascii="Times New Roman" w:eastAsia="Times New Roman"/>
                <w:sz w:val="20"/>
              </w:rPr>
              <w:t>( 1)</w:t>
            </w:r>
            <w:r>
              <w:rPr>
                <w:sz w:val="20"/>
              </w:rPr>
              <w:t>同义词语</w:t>
            </w:r>
          </w:p>
          <w:p>
            <w:pPr>
              <w:pStyle w:val="TableParagraph"/>
              <w:spacing w:line="244" w:lineRule="auto" w:before="51"/>
              <w:ind w:left="114" w:right="163" w:firstLine="420"/>
              <w:rPr>
                <w:sz w:val="20"/>
              </w:rPr>
            </w:pPr>
            <w:r>
              <w:rPr>
                <w:sz w:val="20"/>
              </w:rPr>
              <w:t>构成招标文件组成部分的章节中出现的措辞“发包人 ”和“承包人 ”，在招标投标阶段应当分别按“招标人 ”和“投标人 ”进行理解</w:t>
            </w:r>
          </w:p>
          <w:p>
            <w:pPr>
              <w:pStyle w:val="TableParagraph"/>
              <w:spacing w:line="246" w:lineRule="exact" w:before="34"/>
              <w:ind w:left="134"/>
              <w:rPr>
                <w:sz w:val="20"/>
              </w:rPr>
            </w:pPr>
            <w:r>
              <w:rPr>
                <w:w w:val="99"/>
                <w:sz w:val="20"/>
              </w:rPr>
              <w:t>。</w:t>
            </w:r>
          </w:p>
          <w:p>
            <w:pPr>
              <w:pStyle w:val="TableParagraph"/>
              <w:spacing w:line="246" w:lineRule="exact"/>
              <w:ind w:left="534"/>
              <w:rPr>
                <w:sz w:val="20"/>
              </w:rPr>
            </w:pPr>
            <w:r>
              <w:rPr>
                <w:rFonts w:ascii="Times New Roman" w:eastAsia="Times New Roman"/>
                <w:sz w:val="20"/>
              </w:rPr>
              <w:t>(2)</w:t>
            </w:r>
            <w:r>
              <w:rPr>
                <w:sz w:val="20"/>
              </w:rPr>
              <w:t>知识产权</w:t>
            </w:r>
          </w:p>
          <w:p>
            <w:pPr>
              <w:pStyle w:val="TableParagraph"/>
              <w:spacing w:line="247" w:lineRule="auto" w:before="51"/>
              <w:ind w:left="114" w:right="219" w:firstLine="420"/>
              <w:jc w:val="both"/>
              <w:rPr>
                <w:sz w:val="20"/>
              </w:rPr>
            </w:pPr>
            <w:r>
              <w:rPr>
                <w:sz w:val="20"/>
              </w:rPr>
              <w:t>构成本招标文件各个组成部分的文件，未经招标人书面同意，投标人不得用于非本招标项目所需的其他目的。招标人全部或者部分使用未中标人投标文件中的技术成果或技术方案时，需征得其书面同意</w:t>
            </w:r>
          </w:p>
          <w:p>
            <w:pPr>
              <w:pStyle w:val="TableParagraph"/>
              <w:spacing w:before="5"/>
              <w:ind w:left="114"/>
              <w:rPr>
                <w:sz w:val="20"/>
              </w:rPr>
            </w:pPr>
            <w:r>
              <w:rPr>
                <w:sz w:val="20"/>
              </w:rPr>
              <w:t>, 并不得擅自复印或提供给第三人。</w:t>
            </w:r>
          </w:p>
        </w:tc>
      </w:tr>
    </w:tbl>
    <w:p>
      <w:pPr>
        <w:spacing w:after="0"/>
        <w:rPr>
          <w:sz w:val="20"/>
        </w:rPr>
        <w:sectPr>
          <w:pgSz w:w="11910" w:h="16840"/>
          <w:pgMar w:header="0" w:footer="690" w:top="1400" w:bottom="880" w:left="1300" w:right="500"/>
        </w:sect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68"/>
        <w:gridCol w:w="2098"/>
        <w:gridCol w:w="595"/>
        <w:gridCol w:w="4059"/>
        <w:gridCol w:w="1949"/>
      </w:tblGrid>
      <w:tr>
        <w:trPr>
          <w:trHeight w:val="4753" w:hRule="atLeast"/>
        </w:trPr>
        <w:tc>
          <w:tcPr>
            <w:tcW w:w="1168" w:type="dxa"/>
            <w:vMerge w:val="restart"/>
          </w:tcPr>
          <w:p>
            <w:pPr>
              <w:pStyle w:val="TableParagraph"/>
              <w:rPr>
                <w:rFonts w:ascii="Times New Roman"/>
                <w:sz w:val="20"/>
              </w:rPr>
            </w:pPr>
          </w:p>
        </w:tc>
        <w:tc>
          <w:tcPr>
            <w:tcW w:w="2098" w:type="dxa"/>
            <w:vMerge w:val="restart"/>
          </w:tcPr>
          <w:p>
            <w:pPr>
              <w:pStyle w:val="TableParagraph"/>
              <w:rPr>
                <w:rFonts w:ascii="Times New Roman"/>
                <w:sz w:val="20"/>
              </w:rPr>
            </w:pPr>
          </w:p>
        </w:tc>
        <w:tc>
          <w:tcPr>
            <w:tcW w:w="6603" w:type="dxa"/>
            <w:gridSpan w:val="3"/>
            <w:tcBorders>
              <w:bottom w:val="single" w:sz="4" w:space="0" w:color="000000"/>
            </w:tcBorders>
          </w:tcPr>
          <w:p>
            <w:pPr>
              <w:pStyle w:val="TableParagraph"/>
              <w:spacing w:before="4"/>
              <w:ind w:left="534"/>
              <w:rPr>
                <w:sz w:val="20"/>
              </w:rPr>
            </w:pPr>
            <w:r>
              <w:rPr>
                <w:rFonts w:ascii="Times New Roman" w:eastAsia="Times New Roman"/>
                <w:sz w:val="20"/>
              </w:rPr>
              <w:t>(3)</w:t>
            </w:r>
            <w:r>
              <w:rPr>
                <w:sz w:val="20"/>
              </w:rPr>
              <w:t>重新招标的情形</w:t>
            </w:r>
          </w:p>
          <w:p>
            <w:pPr>
              <w:pStyle w:val="TableParagraph"/>
              <w:spacing w:before="41"/>
              <w:ind w:left="532"/>
              <w:rPr>
                <w:sz w:val="20"/>
              </w:rPr>
            </w:pPr>
            <w:r>
              <w:rPr>
                <w:sz w:val="20"/>
              </w:rPr>
              <w:t>①开标时，投标人少于三个的，招标人应当依法重新招标。</w:t>
            </w:r>
          </w:p>
          <w:p>
            <w:pPr>
              <w:pStyle w:val="TableParagraph"/>
              <w:spacing w:before="29"/>
              <w:ind w:left="114" w:right="200" w:firstLine="417"/>
              <w:rPr>
                <w:sz w:val="20"/>
              </w:rPr>
            </w:pPr>
            <w:r>
              <w:rPr>
                <w:sz w:val="20"/>
              </w:rPr>
              <w:t>②所有投标被否决的，招标人在分析招标失败的原因并采取相应措施后，应当依法重新招标。</w:t>
            </w:r>
          </w:p>
          <w:p>
            <w:pPr>
              <w:pStyle w:val="TableParagraph"/>
              <w:spacing w:before="4"/>
              <w:ind w:left="534"/>
              <w:rPr>
                <w:sz w:val="20"/>
              </w:rPr>
            </w:pPr>
            <w:r>
              <w:rPr>
                <w:rFonts w:ascii="Times New Roman" w:eastAsia="Times New Roman"/>
                <w:sz w:val="20"/>
              </w:rPr>
              <w:t>(4)</w:t>
            </w:r>
            <w:r>
              <w:rPr>
                <w:sz w:val="20"/>
              </w:rPr>
              <w:t>解释权</w:t>
            </w:r>
          </w:p>
          <w:p>
            <w:pPr>
              <w:pStyle w:val="TableParagraph"/>
              <w:spacing w:line="254" w:lineRule="auto" w:before="53"/>
              <w:ind w:left="112" w:right="202" w:firstLine="422"/>
              <w:rPr>
                <w:sz w:val="20"/>
              </w:rPr>
            </w:pPr>
            <w:r>
              <w:rPr>
                <w:sz w:val="20"/>
              </w:rPr>
              <w:t>构成本招标文件的各个组成文件应互为解释，互为说明；如有不明确或不一致，构成合同文件组成内容的，以合同文件约定内容为准</w:t>
            </w:r>
          </w:p>
          <w:p>
            <w:pPr>
              <w:pStyle w:val="TableParagraph"/>
              <w:spacing w:line="254" w:lineRule="auto"/>
              <w:ind w:left="112" w:right="202"/>
              <w:jc w:val="both"/>
              <w:rPr>
                <w:sz w:val="20"/>
              </w:rPr>
            </w:pPr>
            <w:r>
              <w:rPr>
                <w:sz w:val="20"/>
              </w:rPr>
              <w:t>, 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 由招标人负责解释。</w:t>
            </w:r>
          </w:p>
          <w:p>
            <w:pPr>
              <w:pStyle w:val="TableParagraph"/>
              <w:spacing w:line="251" w:lineRule="exact"/>
              <w:ind w:left="534"/>
              <w:rPr>
                <w:sz w:val="20"/>
              </w:rPr>
            </w:pPr>
            <w:r>
              <w:rPr>
                <w:rFonts w:ascii="Times New Roman" w:eastAsia="Times New Roman"/>
                <w:sz w:val="20"/>
              </w:rPr>
              <w:t>(5)</w:t>
            </w:r>
            <w:r>
              <w:rPr>
                <w:sz w:val="20"/>
              </w:rPr>
              <w:t>招标代理服务费</w:t>
            </w:r>
          </w:p>
          <w:p>
            <w:pPr>
              <w:pStyle w:val="TableParagraph"/>
              <w:spacing w:before="19"/>
              <w:ind w:left="2"/>
              <w:rPr>
                <w:sz w:val="21"/>
              </w:rPr>
            </w:pPr>
            <w:r>
              <w:rPr>
                <w:sz w:val="21"/>
              </w:rPr>
              <w:t>本项目招标代理服务费由中标人在领取中标通知书时支付。</w:t>
            </w:r>
          </w:p>
          <w:p>
            <w:pPr>
              <w:pStyle w:val="TableParagraph"/>
              <w:spacing w:line="300" w:lineRule="atLeast"/>
              <w:ind w:left="2" w:right="180"/>
              <w:rPr>
                <w:sz w:val="21"/>
              </w:rPr>
            </w:pPr>
            <w:r>
              <w:rPr>
                <w:w w:val="95"/>
                <w:sz w:val="21"/>
              </w:rPr>
              <w:t>以实际中标价为基数计算代理费乘以下表对应的收取比例再乘以</w:t>
            </w:r>
            <w:r>
              <w:rPr>
                <w:rFonts w:ascii="Arial" w:eastAsia="Arial"/>
                <w:w w:val="95"/>
                <w:sz w:val="21"/>
              </w:rPr>
              <w:t>100%  </w:t>
            </w:r>
            <w:r>
              <w:rPr>
                <w:sz w:val="21"/>
              </w:rPr>
              <w:t>计算出最终代理费</w:t>
            </w:r>
            <w:r>
              <w:rPr>
                <w:rFonts w:ascii="Arial" w:eastAsia="Arial"/>
                <w:sz w:val="21"/>
              </w:rPr>
              <w:t>(</w:t>
            </w:r>
            <w:r>
              <w:rPr>
                <w:sz w:val="21"/>
              </w:rPr>
              <w:t>详见下表</w:t>
            </w:r>
            <w:r>
              <w:rPr>
                <w:rFonts w:ascii="Arial" w:eastAsia="Arial"/>
                <w:sz w:val="21"/>
              </w:rPr>
              <w:t>)</w:t>
            </w:r>
            <w:r>
              <w:rPr>
                <w:sz w:val="21"/>
              </w:rPr>
              <w:t>。</w:t>
            </w:r>
          </w:p>
        </w:tc>
      </w:tr>
      <w:tr>
        <w:trPr>
          <w:trHeight w:val="481" w:hRule="atLeast"/>
        </w:trPr>
        <w:tc>
          <w:tcPr>
            <w:tcW w:w="1168" w:type="dxa"/>
            <w:vMerge/>
            <w:tcBorders>
              <w:top w:val="nil"/>
            </w:tcBorders>
          </w:tcPr>
          <w:p>
            <w:pPr>
              <w:rPr>
                <w:sz w:val="2"/>
                <w:szCs w:val="2"/>
              </w:rPr>
            </w:pPr>
          </w:p>
        </w:tc>
        <w:tc>
          <w:tcPr>
            <w:tcW w:w="2098" w:type="dxa"/>
            <w:vMerge/>
            <w:tcBorders>
              <w:top w:val="nil"/>
            </w:tcBorders>
          </w:tcPr>
          <w:p>
            <w:pPr>
              <w:rPr>
                <w:sz w:val="2"/>
                <w:szCs w:val="2"/>
              </w:rPr>
            </w:pPr>
          </w:p>
        </w:tc>
        <w:tc>
          <w:tcPr>
            <w:tcW w:w="595" w:type="dxa"/>
            <w:tcBorders>
              <w:top w:val="single" w:sz="4" w:space="0" w:color="000000"/>
              <w:left w:val="thinThickMediumGap" w:sz="2" w:space="0" w:color="000000"/>
              <w:bottom w:val="single" w:sz="4" w:space="0" w:color="000000"/>
              <w:right w:val="single" w:sz="4" w:space="0" w:color="000000"/>
            </w:tcBorders>
          </w:tcPr>
          <w:p>
            <w:pPr>
              <w:pStyle w:val="TableParagraph"/>
              <w:spacing w:before="143"/>
              <w:ind w:left="70" w:right="51"/>
              <w:jc w:val="center"/>
              <w:rPr>
                <w:sz w:val="21"/>
              </w:rPr>
            </w:pPr>
            <w:r>
              <w:rPr>
                <w:sz w:val="21"/>
              </w:rPr>
              <w:t>序号</w:t>
            </w:r>
          </w:p>
        </w:tc>
        <w:tc>
          <w:tcPr>
            <w:tcW w:w="4059" w:type="dxa"/>
            <w:tcBorders>
              <w:top w:val="single" w:sz="4" w:space="0" w:color="000000"/>
              <w:left w:val="single" w:sz="4" w:space="0" w:color="000000"/>
              <w:bottom w:val="single" w:sz="4" w:space="0" w:color="000000"/>
              <w:right w:val="single" w:sz="4" w:space="0" w:color="000000"/>
            </w:tcBorders>
          </w:tcPr>
          <w:p>
            <w:pPr>
              <w:pStyle w:val="TableParagraph"/>
              <w:spacing w:before="143"/>
              <w:ind w:left="210" w:right="202"/>
              <w:jc w:val="center"/>
              <w:rPr>
                <w:rFonts w:ascii="Arial" w:eastAsia="Arial"/>
                <w:sz w:val="21"/>
              </w:rPr>
            </w:pPr>
            <w:r>
              <w:rPr>
                <w:sz w:val="21"/>
              </w:rPr>
              <w:t>中标额</w:t>
            </w:r>
            <w:r>
              <w:rPr>
                <w:rFonts w:ascii="Arial" w:eastAsia="Arial"/>
                <w:sz w:val="21"/>
              </w:rPr>
              <w:t>(</w:t>
            </w:r>
            <w:r>
              <w:rPr>
                <w:sz w:val="21"/>
              </w:rPr>
              <w:t>万元</w:t>
            </w:r>
            <w:r>
              <w:rPr>
                <w:rFonts w:ascii="Arial" w:eastAsia="Arial"/>
                <w:sz w:val="21"/>
              </w:rPr>
              <w:t>)</w:t>
            </w:r>
          </w:p>
        </w:tc>
        <w:tc>
          <w:tcPr>
            <w:tcW w:w="1949" w:type="dxa"/>
            <w:tcBorders>
              <w:top w:val="single" w:sz="4" w:space="0" w:color="000000"/>
              <w:left w:val="single" w:sz="4" w:space="0" w:color="000000"/>
              <w:bottom w:val="single" w:sz="4" w:space="0" w:color="000000"/>
              <w:right w:val="thinThickMediumGap" w:sz="2" w:space="0" w:color="000000"/>
            </w:tcBorders>
          </w:tcPr>
          <w:p>
            <w:pPr>
              <w:pStyle w:val="TableParagraph"/>
              <w:spacing w:before="143"/>
              <w:ind w:left="317" w:right="318"/>
              <w:jc w:val="center"/>
              <w:rPr>
                <w:sz w:val="21"/>
              </w:rPr>
            </w:pPr>
            <w:r>
              <w:rPr>
                <w:sz w:val="21"/>
              </w:rPr>
              <w:t>收取比例备注</w:t>
            </w:r>
          </w:p>
        </w:tc>
      </w:tr>
      <w:tr>
        <w:trPr>
          <w:trHeight w:val="482" w:hRule="atLeast"/>
        </w:trPr>
        <w:tc>
          <w:tcPr>
            <w:tcW w:w="1168" w:type="dxa"/>
            <w:vMerge/>
            <w:tcBorders>
              <w:top w:val="nil"/>
            </w:tcBorders>
          </w:tcPr>
          <w:p>
            <w:pPr>
              <w:rPr>
                <w:sz w:val="2"/>
                <w:szCs w:val="2"/>
              </w:rPr>
            </w:pPr>
          </w:p>
        </w:tc>
        <w:tc>
          <w:tcPr>
            <w:tcW w:w="2098" w:type="dxa"/>
            <w:vMerge/>
            <w:tcBorders>
              <w:top w:val="nil"/>
            </w:tcBorders>
          </w:tcPr>
          <w:p>
            <w:pPr>
              <w:rPr>
                <w:sz w:val="2"/>
                <w:szCs w:val="2"/>
              </w:rPr>
            </w:pPr>
          </w:p>
        </w:tc>
        <w:tc>
          <w:tcPr>
            <w:tcW w:w="595" w:type="dxa"/>
            <w:tcBorders>
              <w:top w:val="single" w:sz="4" w:space="0" w:color="000000"/>
              <w:left w:val="thinThickMediumGap" w:sz="2" w:space="0" w:color="000000"/>
              <w:bottom w:val="single" w:sz="4" w:space="0" w:color="000000"/>
              <w:right w:val="single" w:sz="4" w:space="0" w:color="000000"/>
            </w:tcBorders>
          </w:tcPr>
          <w:p>
            <w:pPr>
              <w:pStyle w:val="TableParagraph"/>
              <w:spacing w:before="158"/>
              <w:ind w:left="17"/>
              <w:jc w:val="center"/>
              <w:rPr>
                <w:rFonts w:ascii="Arial"/>
                <w:sz w:val="21"/>
              </w:rPr>
            </w:pPr>
            <w:r>
              <w:rPr>
                <w:rFonts w:ascii="Arial"/>
                <w:w w:val="99"/>
                <w:sz w:val="21"/>
              </w:rPr>
              <w:t>1</w:t>
            </w:r>
          </w:p>
        </w:tc>
        <w:tc>
          <w:tcPr>
            <w:tcW w:w="4059" w:type="dxa"/>
            <w:tcBorders>
              <w:top w:val="single" w:sz="4" w:space="0" w:color="000000"/>
              <w:left w:val="single" w:sz="4" w:space="0" w:color="000000"/>
              <w:bottom w:val="single" w:sz="4" w:space="0" w:color="000000"/>
              <w:right w:val="single" w:sz="4" w:space="0" w:color="000000"/>
            </w:tcBorders>
          </w:tcPr>
          <w:p>
            <w:pPr>
              <w:pStyle w:val="TableParagraph"/>
              <w:spacing w:before="143"/>
              <w:ind w:left="210" w:right="202"/>
              <w:jc w:val="center"/>
              <w:rPr>
                <w:rFonts w:ascii="Arial" w:eastAsia="Arial"/>
                <w:sz w:val="21"/>
              </w:rPr>
            </w:pPr>
            <w:r>
              <w:rPr>
                <w:sz w:val="21"/>
              </w:rPr>
              <w:t>中标额</w:t>
            </w:r>
            <w:r>
              <w:rPr>
                <w:rFonts w:ascii="Arial" w:eastAsia="Arial"/>
                <w:sz w:val="21"/>
              </w:rPr>
              <w:t>100</w:t>
            </w:r>
            <w:r>
              <w:rPr>
                <w:sz w:val="21"/>
              </w:rPr>
              <w:t>万元以下</w:t>
            </w:r>
            <w:r>
              <w:rPr>
                <w:rFonts w:ascii="Arial" w:eastAsia="Arial"/>
                <w:sz w:val="21"/>
              </w:rPr>
              <w:t>(</w:t>
            </w:r>
            <w:r>
              <w:rPr>
                <w:sz w:val="21"/>
              </w:rPr>
              <w:t>含</w:t>
            </w:r>
            <w:r>
              <w:rPr>
                <w:rFonts w:ascii="Arial" w:eastAsia="Arial"/>
                <w:sz w:val="21"/>
              </w:rPr>
              <w:t>)</w:t>
            </w:r>
          </w:p>
        </w:tc>
        <w:tc>
          <w:tcPr>
            <w:tcW w:w="1949" w:type="dxa"/>
            <w:tcBorders>
              <w:top w:val="single" w:sz="4" w:space="0" w:color="000000"/>
              <w:left w:val="single" w:sz="4" w:space="0" w:color="000000"/>
              <w:bottom w:val="single" w:sz="4" w:space="0" w:color="000000"/>
              <w:right w:val="thinThickMediumGap" w:sz="2" w:space="0" w:color="000000"/>
            </w:tcBorders>
          </w:tcPr>
          <w:p>
            <w:pPr>
              <w:pStyle w:val="TableParagraph"/>
              <w:spacing w:before="158"/>
              <w:ind w:left="317" w:right="317"/>
              <w:jc w:val="center"/>
              <w:rPr>
                <w:rFonts w:ascii="Arial"/>
                <w:sz w:val="21"/>
              </w:rPr>
            </w:pPr>
            <w:r>
              <w:rPr>
                <w:rFonts w:ascii="Arial"/>
                <w:sz w:val="21"/>
              </w:rPr>
              <w:t>100%</w:t>
            </w:r>
          </w:p>
        </w:tc>
      </w:tr>
      <w:tr>
        <w:trPr>
          <w:trHeight w:val="481" w:hRule="atLeast"/>
        </w:trPr>
        <w:tc>
          <w:tcPr>
            <w:tcW w:w="1168" w:type="dxa"/>
            <w:vMerge/>
            <w:tcBorders>
              <w:top w:val="nil"/>
            </w:tcBorders>
          </w:tcPr>
          <w:p>
            <w:pPr>
              <w:rPr>
                <w:sz w:val="2"/>
                <w:szCs w:val="2"/>
              </w:rPr>
            </w:pPr>
          </w:p>
        </w:tc>
        <w:tc>
          <w:tcPr>
            <w:tcW w:w="2098" w:type="dxa"/>
            <w:vMerge/>
            <w:tcBorders>
              <w:top w:val="nil"/>
            </w:tcBorders>
          </w:tcPr>
          <w:p>
            <w:pPr>
              <w:rPr>
                <w:sz w:val="2"/>
                <w:szCs w:val="2"/>
              </w:rPr>
            </w:pPr>
          </w:p>
        </w:tc>
        <w:tc>
          <w:tcPr>
            <w:tcW w:w="595" w:type="dxa"/>
            <w:tcBorders>
              <w:top w:val="single" w:sz="4" w:space="0" w:color="000000"/>
              <w:left w:val="thinThickMediumGap" w:sz="2" w:space="0" w:color="000000"/>
              <w:bottom w:val="single" w:sz="4" w:space="0" w:color="000000"/>
              <w:right w:val="single" w:sz="4" w:space="0" w:color="000000"/>
            </w:tcBorders>
          </w:tcPr>
          <w:p>
            <w:pPr>
              <w:pStyle w:val="TableParagraph"/>
              <w:spacing w:before="158"/>
              <w:ind w:left="17"/>
              <w:jc w:val="center"/>
              <w:rPr>
                <w:rFonts w:ascii="Arial"/>
                <w:sz w:val="21"/>
              </w:rPr>
            </w:pPr>
            <w:r>
              <w:rPr>
                <w:rFonts w:ascii="Arial"/>
                <w:w w:val="99"/>
                <w:sz w:val="21"/>
              </w:rPr>
              <w:t>2</w:t>
            </w:r>
          </w:p>
        </w:tc>
        <w:tc>
          <w:tcPr>
            <w:tcW w:w="4059" w:type="dxa"/>
            <w:tcBorders>
              <w:top w:val="single" w:sz="4" w:space="0" w:color="000000"/>
              <w:left w:val="single" w:sz="4" w:space="0" w:color="000000"/>
              <w:bottom w:val="single" w:sz="4" w:space="0" w:color="000000"/>
              <w:right w:val="single" w:sz="4" w:space="0" w:color="000000"/>
            </w:tcBorders>
          </w:tcPr>
          <w:p>
            <w:pPr>
              <w:pStyle w:val="TableParagraph"/>
              <w:spacing w:before="143"/>
              <w:ind w:left="210" w:right="201"/>
              <w:jc w:val="center"/>
              <w:rPr>
                <w:sz w:val="21"/>
              </w:rPr>
            </w:pPr>
            <w:r>
              <w:rPr>
                <w:sz w:val="21"/>
              </w:rPr>
              <w:t>中标额</w:t>
            </w:r>
            <w:r>
              <w:rPr>
                <w:rFonts w:ascii="Arial" w:eastAsia="Arial"/>
                <w:sz w:val="21"/>
              </w:rPr>
              <w:t>100</w:t>
            </w:r>
            <w:r>
              <w:rPr>
                <w:sz w:val="21"/>
              </w:rPr>
              <w:t>万元以上</w:t>
            </w:r>
            <w:r>
              <w:rPr>
                <w:rFonts w:ascii="Arial" w:eastAsia="Arial"/>
                <w:sz w:val="21"/>
              </w:rPr>
              <w:t>500</w:t>
            </w:r>
            <w:r>
              <w:rPr>
                <w:sz w:val="21"/>
              </w:rPr>
              <w:t>万元</w:t>
            </w:r>
            <w:r>
              <w:rPr>
                <w:rFonts w:ascii="Arial" w:eastAsia="Arial"/>
                <w:sz w:val="21"/>
              </w:rPr>
              <w:t>(</w:t>
            </w:r>
            <w:r>
              <w:rPr>
                <w:sz w:val="21"/>
              </w:rPr>
              <w:t>含</w:t>
            </w:r>
            <w:r>
              <w:rPr>
                <w:rFonts w:ascii="Arial" w:eastAsia="Arial"/>
                <w:sz w:val="21"/>
              </w:rPr>
              <w:t>)</w:t>
            </w:r>
            <w:r>
              <w:rPr>
                <w:sz w:val="21"/>
              </w:rPr>
              <w:t>以下</w:t>
            </w:r>
          </w:p>
        </w:tc>
        <w:tc>
          <w:tcPr>
            <w:tcW w:w="1949" w:type="dxa"/>
            <w:tcBorders>
              <w:top w:val="single" w:sz="4" w:space="0" w:color="000000"/>
              <w:left w:val="single" w:sz="4" w:space="0" w:color="000000"/>
              <w:bottom w:val="single" w:sz="4" w:space="0" w:color="000000"/>
              <w:right w:val="thinThickMediumGap" w:sz="2" w:space="0" w:color="000000"/>
            </w:tcBorders>
          </w:tcPr>
          <w:p>
            <w:pPr>
              <w:pStyle w:val="TableParagraph"/>
              <w:spacing w:before="158"/>
              <w:ind w:left="317" w:right="317"/>
              <w:jc w:val="center"/>
              <w:rPr>
                <w:rFonts w:ascii="Arial"/>
                <w:sz w:val="21"/>
              </w:rPr>
            </w:pPr>
            <w:r>
              <w:rPr>
                <w:rFonts w:ascii="Arial"/>
                <w:sz w:val="21"/>
              </w:rPr>
              <w:t>95%</w:t>
            </w:r>
          </w:p>
        </w:tc>
      </w:tr>
      <w:tr>
        <w:trPr>
          <w:trHeight w:val="482" w:hRule="atLeast"/>
        </w:trPr>
        <w:tc>
          <w:tcPr>
            <w:tcW w:w="1168" w:type="dxa"/>
            <w:vMerge/>
            <w:tcBorders>
              <w:top w:val="nil"/>
            </w:tcBorders>
          </w:tcPr>
          <w:p>
            <w:pPr>
              <w:rPr>
                <w:sz w:val="2"/>
                <w:szCs w:val="2"/>
              </w:rPr>
            </w:pPr>
          </w:p>
        </w:tc>
        <w:tc>
          <w:tcPr>
            <w:tcW w:w="2098" w:type="dxa"/>
            <w:vMerge/>
            <w:tcBorders>
              <w:top w:val="nil"/>
            </w:tcBorders>
          </w:tcPr>
          <w:p>
            <w:pPr>
              <w:rPr>
                <w:sz w:val="2"/>
                <w:szCs w:val="2"/>
              </w:rPr>
            </w:pPr>
          </w:p>
        </w:tc>
        <w:tc>
          <w:tcPr>
            <w:tcW w:w="595" w:type="dxa"/>
            <w:tcBorders>
              <w:top w:val="single" w:sz="4" w:space="0" w:color="000000"/>
              <w:left w:val="thinThickMediumGap" w:sz="2" w:space="0" w:color="000000"/>
              <w:bottom w:val="single" w:sz="4" w:space="0" w:color="000000"/>
              <w:right w:val="single" w:sz="4" w:space="0" w:color="000000"/>
            </w:tcBorders>
          </w:tcPr>
          <w:p>
            <w:pPr>
              <w:pStyle w:val="TableParagraph"/>
              <w:spacing w:before="158"/>
              <w:ind w:left="17"/>
              <w:jc w:val="center"/>
              <w:rPr>
                <w:rFonts w:ascii="Arial"/>
                <w:sz w:val="21"/>
              </w:rPr>
            </w:pPr>
            <w:r>
              <w:rPr>
                <w:rFonts w:ascii="Arial"/>
                <w:w w:val="99"/>
                <w:sz w:val="21"/>
              </w:rPr>
              <w:t>3</w:t>
            </w:r>
          </w:p>
        </w:tc>
        <w:tc>
          <w:tcPr>
            <w:tcW w:w="4059" w:type="dxa"/>
            <w:tcBorders>
              <w:top w:val="single" w:sz="4" w:space="0" w:color="000000"/>
              <w:left w:val="single" w:sz="4" w:space="0" w:color="000000"/>
              <w:bottom w:val="single" w:sz="4" w:space="0" w:color="000000"/>
              <w:right w:val="single" w:sz="4" w:space="0" w:color="000000"/>
            </w:tcBorders>
          </w:tcPr>
          <w:p>
            <w:pPr>
              <w:pStyle w:val="TableParagraph"/>
              <w:spacing w:before="142"/>
              <w:ind w:left="210" w:right="204"/>
              <w:jc w:val="center"/>
              <w:rPr>
                <w:sz w:val="21"/>
              </w:rPr>
            </w:pPr>
            <w:r>
              <w:rPr>
                <w:sz w:val="21"/>
              </w:rPr>
              <w:t>中标额</w:t>
            </w:r>
            <w:r>
              <w:rPr>
                <w:rFonts w:ascii="Arial" w:eastAsia="Arial"/>
                <w:sz w:val="21"/>
              </w:rPr>
              <w:t>500</w:t>
            </w:r>
            <w:r>
              <w:rPr>
                <w:sz w:val="21"/>
              </w:rPr>
              <w:t>万元以上</w:t>
            </w:r>
            <w:r>
              <w:rPr>
                <w:rFonts w:ascii="Arial" w:eastAsia="Arial"/>
                <w:sz w:val="21"/>
              </w:rPr>
              <w:t>1000</w:t>
            </w:r>
            <w:r>
              <w:rPr>
                <w:sz w:val="21"/>
              </w:rPr>
              <w:t>万元</w:t>
            </w:r>
            <w:r>
              <w:rPr>
                <w:rFonts w:ascii="Arial" w:eastAsia="Arial"/>
                <w:sz w:val="21"/>
              </w:rPr>
              <w:t>(</w:t>
            </w:r>
            <w:r>
              <w:rPr>
                <w:sz w:val="21"/>
              </w:rPr>
              <w:t>含</w:t>
            </w:r>
            <w:r>
              <w:rPr>
                <w:rFonts w:ascii="Arial" w:eastAsia="Arial"/>
                <w:sz w:val="21"/>
              </w:rPr>
              <w:t>)</w:t>
            </w:r>
            <w:r>
              <w:rPr>
                <w:sz w:val="21"/>
              </w:rPr>
              <w:t>以下</w:t>
            </w:r>
          </w:p>
        </w:tc>
        <w:tc>
          <w:tcPr>
            <w:tcW w:w="1949" w:type="dxa"/>
            <w:tcBorders>
              <w:top w:val="single" w:sz="4" w:space="0" w:color="000000"/>
              <w:left w:val="single" w:sz="4" w:space="0" w:color="000000"/>
              <w:bottom w:val="single" w:sz="4" w:space="0" w:color="000000"/>
              <w:right w:val="thinThickMediumGap" w:sz="2" w:space="0" w:color="000000"/>
            </w:tcBorders>
          </w:tcPr>
          <w:p>
            <w:pPr>
              <w:pStyle w:val="TableParagraph"/>
              <w:spacing w:before="158"/>
              <w:ind w:left="317" w:right="317"/>
              <w:jc w:val="center"/>
              <w:rPr>
                <w:rFonts w:ascii="Arial"/>
                <w:sz w:val="21"/>
              </w:rPr>
            </w:pPr>
            <w:r>
              <w:rPr>
                <w:rFonts w:ascii="Arial"/>
                <w:sz w:val="21"/>
              </w:rPr>
              <w:t>90%</w:t>
            </w:r>
          </w:p>
        </w:tc>
      </w:tr>
      <w:tr>
        <w:trPr>
          <w:trHeight w:val="482" w:hRule="atLeast"/>
        </w:trPr>
        <w:tc>
          <w:tcPr>
            <w:tcW w:w="1168" w:type="dxa"/>
            <w:vMerge/>
            <w:tcBorders>
              <w:top w:val="nil"/>
            </w:tcBorders>
          </w:tcPr>
          <w:p>
            <w:pPr>
              <w:rPr>
                <w:sz w:val="2"/>
                <w:szCs w:val="2"/>
              </w:rPr>
            </w:pPr>
          </w:p>
        </w:tc>
        <w:tc>
          <w:tcPr>
            <w:tcW w:w="2098" w:type="dxa"/>
            <w:vMerge/>
            <w:tcBorders>
              <w:top w:val="nil"/>
            </w:tcBorders>
          </w:tcPr>
          <w:p>
            <w:pPr>
              <w:rPr>
                <w:sz w:val="2"/>
                <w:szCs w:val="2"/>
              </w:rPr>
            </w:pPr>
          </w:p>
        </w:tc>
        <w:tc>
          <w:tcPr>
            <w:tcW w:w="595" w:type="dxa"/>
            <w:tcBorders>
              <w:top w:val="single" w:sz="4" w:space="0" w:color="000000"/>
              <w:left w:val="thinThickMediumGap" w:sz="2" w:space="0" w:color="000000"/>
              <w:bottom w:val="single" w:sz="4" w:space="0" w:color="000000"/>
              <w:right w:val="single" w:sz="4" w:space="0" w:color="000000"/>
            </w:tcBorders>
          </w:tcPr>
          <w:p>
            <w:pPr>
              <w:pStyle w:val="TableParagraph"/>
              <w:spacing w:before="158"/>
              <w:ind w:left="17"/>
              <w:jc w:val="center"/>
              <w:rPr>
                <w:rFonts w:ascii="Arial"/>
                <w:sz w:val="21"/>
              </w:rPr>
            </w:pPr>
            <w:r>
              <w:rPr>
                <w:rFonts w:ascii="Arial"/>
                <w:w w:val="99"/>
                <w:sz w:val="21"/>
              </w:rPr>
              <w:t>4</w:t>
            </w:r>
          </w:p>
        </w:tc>
        <w:tc>
          <w:tcPr>
            <w:tcW w:w="4059" w:type="dxa"/>
            <w:tcBorders>
              <w:top w:val="single" w:sz="4" w:space="0" w:color="000000"/>
              <w:left w:val="single" w:sz="4" w:space="0" w:color="000000"/>
              <w:bottom w:val="single" w:sz="4" w:space="0" w:color="000000"/>
              <w:right w:val="single" w:sz="4" w:space="0" w:color="000000"/>
            </w:tcBorders>
          </w:tcPr>
          <w:p>
            <w:pPr>
              <w:pStyle w:val="TableParagraph"/>
              <w:spacing w:before="142"/>
              <w:ind w:left="210" w:right="204"/>
              <w:jc w:val="center"/>
              <w:rPr>
                <w:sz w:val="21"/>
              </w:rPr>
            </w:pPr>
            <w:r>
              <w:rPr>
                <w:sz w:val="21"/>
              </w:rPr>
              <w:t>中标额</w:t>
            </w:r>
            <w:r>
              <w:rPr>
                <w:rFonts w:ascii="Arial" w:eastAsia="Arial"/>
                <w:sz w:val="21"/>
              </w:rPr>
              <w:t>1000</w:t>
            </w:r>
            <w:r>
              <w:rPr>
                <w:sz w:val="21"/>
              </w:rPr>
              <w:t>万元以上</w:t>
            </w:r>
            <w:r>
              <w:rPr>
                <w:rFonts w:ascii="Arial" w:eastAsia="Arial"/>
                <w:sz w:val="21"/>
              </w:rPr>
              <w:t>5000</w:t>
            </w:r>
            <w:r>
              <w:rPr>
                <w:sz w:val="21"/>
              </w:rPr>
              <w:t>万元</w:t>
            </w:r>
            <w:r>
              <w:rPr>
                <w:rFonts w:ascii="Arial" w:eastAsia="Arial"/>
                <w:sz w:val="21"/>
              </w:rPr>
              <w:t>(</w:t>
            </w:r>
            <w:r>
              <w:rPr>
                <w:sz w:val="21"/>
              </w:rPr>
              <w:t>含</w:t>
            </w:r>
            <w:r>
              <w:rPr>
                <w:rFonts w:ascii="Arial" w:eastAsia="Arial"/>
                <w:sz w:val="21"/>
              </w:rPr>
              <w:t>)</w:t>
            </w:r>
            <w:r>
              <w:rPr>
                <w:sz w:val="21"/>
              </w:rPr>
              <w:t>以下</w:t>
            </w:r>
          </w:p>
        </w:tc>
        <w:tc>
          <w:tcPr>
            <w:tcW w:w="1949" w:type="dxa"/>
            <w:tcBorders>
              <w:top w:val="single" w:sz="4" w:space="0" w:color="000000"/>
              <w:left w:val="single" w:sz="4" w:space="0" w:color="000000"/>
              <w:bottom w:val="single" w:sz="4" w:space="0" w:color="000000"/>
              <w:right w:val="thinThickMediumGap" w:sz="2" w:space="0" w:color="000000"/>
            </w:tcBorders>
          </w:tcPr>
          <w:p>
            <w:pPr>
              <w:pStyle w:val="TableParagraph"/>
              <w:spacing w:before="158"/>
              <w:ind w:left="317" w:right="317"/>
              <w:jc w:val="center"/>
              <w:rPr>
                <w:rFonts w:ascii="Arial"/>
                <w:sz w:val="21"/>
              </w:rPr>
            </w:pPr>
            <w:r>
              <w:rPr>
                <w:rFonts w:ascii="Arial"/>
                <w:sz w:val="21"/>
              </w:rPr>
              <w:t>85%</w:t>
            </w:r>
          </w:p>
        </w:tc>
      </w:tr>
      <w:tr>
        <w:trPr>
          <w:trHeight w:val="1142" w:hRule="atLeast"/>
        </w:trPr>
        <w:tc>
          <w:tcPr>
            <w:tcW w:w="1168" w:type="dxa"/>
            <w:vMerge/>
            <w:tcBorders>
              <w:top w:val="nil"/>
            </w:tcBorders>
          </w:tcPr>
          <w:p>
            <w:pPr>
              <w:rPr>
                <w:sz w:val="2"/>
                <w:szCs w:val="2"/>
              </w:rPr>
            </w:pPr>
          </w:p>
        </w:tc>
        <w:tc>
          <w:tcPr>
            <w:tcW w:w="2098" w:type="dxa"/>
            <w:vMerge/>
            <w:tcBorders>
              <w:top w:val="nil"/>
            </w:tcBorders>
          </w:tcPr>
          <w:p>
            <w:pPr>
              <w:rPr>
                <w:sz w:val="2"/>
                <w:szCs w:val="2"/>
              </w:rPr>
            </w:pPr>
          </w:p>
        </w:tc>
        <w:tc>
          <w:tcPr>
            <w:tcW w:w="6603" w:type="dxa"/>
            <w:gridSpan w:val="3"/>
            <w:tcBorders>
              <w:top w:val="single" w:sz="4" w:space="0" w:color="000000"/>
            </w:tcBorders>
          </w:tcPr>
          <w:p>
            <w:pPr>
              <w:pStyle w:val="TableParagraph"/>
              <w:spacing w:before="10"/>
              <w:rPr>
                <w:b/>
                <w:sz w:val="22"/>
              </w:rPr>
            </w:pPr>
          </w:p>
          <w:p>
            <w:pPr>
              <w:pStyle w:val="TableParagraph"/>
              <w:ind w:left="534"/>
              <w:rPr>
                <w:sz w:val="20"/>
              </w:rPr>
            </w:pPr>
            <w:r>
              <w:rPr>
                <w:rFonts w:ascii="Times New Roman" w:eastAsia="Times New Roman"/>
                <w:sz w:val="20"/>
              </w:rPr>
              <w:t>(6)</w:t>
            </w:r>
            <w:r>
              <w:rPr>
                <w:sz w:val="20"/>
              </w:rPr>
              <w:t>合同授予</w:t>
            </w:r>
          </w:p>
          <w:p>
            <w:pPr>
              <w:pStyle w:val="TableParagraph"/>
              <w:spacing w:before="41"/>
              <w:ind w:left="534"/>
              <w:rPr>
                <w:sz w:val="20"/>
              </w:rPr>
            </w:pPr>
            <w:r>
              <w:rPr>
                <w:sz w:val="20"/>
              </w:rPr>
              <w:t>招标人和中标人应当自中标通知书发出之日起三十日内签订合同</w:t>
            </w:r>
          </w:p>
          <w:p>
            <w:pPr>
              <w:pStyle w:val="TableParagraph"/>
              <w:spacing w:line="245" w:lineRule="exact" w:before="32"/>
              <w:ind w:left="534"/>
              <w:rPr>
                <w:sz w:val="20"/>
              </w:rPr>
            </w:pPr>
            <w:r>
              <w:rPr>
                <w:w w:val="99"/>
                <w:sz w:val="20"/>
              </w:rPr>
              <w:t>。</w:t>
            </w:r>
          </w:p>
        </w:tc>
      </w:tr>
      <w:tr>
        <w:trPr>
          <w:trHeight w:val="572" w:hRule="atLeast"/>
        </w:trPr>
        <w:tc>
          <w:tcPr>
            <w:tcW w:w="1168" w:type="dxa"/>
          </w:tcPr>
          <w:p>
            <w:pPr>
              <w:pStyle w:val="TableParagraph"/>
              <w:spacing w:before="192"/>
              <w:ind w:right="423"/>
              <w:jc w:val="right"/>
              <w:rPr>
                <w:rFonts w:ascii="Times New Roman"/>
                <w:sz w:val="20"/>
              </w:rPr>
            </w:pPr>
            <w:r>
              <w:rPr>
                <w:rFonts w:ascii="Times New Roman"/>
                <w:sz w:val="20"/>
              </w:rPr>
              <w:t>46</w:t>
            </w:r>
          </w:p>
        </w:tc>
        <w:tc>
          <w:tcPr>
            <w:tcW w:w="8701" w:type="dxa"/>
            <w:gridSpan w:val="4"/>
          </w:tcPr>
          <w:p>
            <w:pPr>
              <w:pStyle w:val="TableParagraph"/>
              <w:spacing w:before="1"/>
              <w:rPr>
                <w:b/>
                <w:sz w:val="18"/>
              </w:rPr>
            </w:pPr>
          </w:p>
          <w:p>
            <w:pPr>
              <w:pStyle w:val="TableParagraph"/>
              <w:ind w:left="573"/>
              <w:rPr>
                <w:sz w:val="20"/>
              </w:rPr>
            </w:pPr>
            <w:r>
              <w:rPr>
                <w:sz w:val="20"/>
              </w:rPr>
              <w:t>投标人须知前附表与投标人须知正文不一致时， 以投标人须知前附表为准。</w:t>
            </w:r>
          </w:p>
        </w:tc>
      </w:tr>
      <w:tr>
        <w:trPr>
          <w:trHeight w:val="1187" w:hRule="atLeast"/>
        </w:trPr>
        <w:tc>
          <w:tcPr>
            <w:tcW w:w="1168" w:type="dxa"/>
          </w:tcPr>
          <w:p>
            <w:pPr>
              <w:pStyle w:val="TableParagraph"/>
              <w:spacing w:before="191"/>
              <w:ind w:right="423"/>
              <w:jc w:val="right"/>
              <w:rPr>
                <w:rFonts w:ascii="Times New Roman"/>
                <w:sz w:val="20"/>
              </w:rPr>
            </w:pPr>
            <w:r>
              <w:rPr>
                <w:rFonts w:ascii="Times New Roman"/>
                <w:sz w:val="20"/>
              </w:rPr>
              <w:t>47</w:t>
            </w:r>
          </w:p>
        </w:tc>
        <w:tc>
          <w:tcPr>
            <w:tcW w:w="8701" w:type="dxa"/>
            <w:gridSpan w:val="4"/>
          </w:tcPr>
          <w:p>
            <w:pPr>
              <w:pStyle w:val="TableParagraph"/>
              <w:spacing w:before="2"/>
              <w:ind w:left="2" w:firstLine="463"/>
              <w:rPr>
                <w:sz w:val="20"/>
              </w:rPr>
            </w:pPr>
            <w:r>
              <w:rPr>
                <w:sz w:val="21"/>
              </w:rPr>
              <w:t>付款方式： </w:t>
            </w:r>
            <w:r>
              <w:rPr>
                <w:sz w:val="20"/>
              </w:rPr>
              <w:t>中标人完成发电计划，及时获取电量，实际以关口计量表、交易结算、供电</w:t>
            </w:r>
          </w:p>
          <w:p>
            <w:pPr>
              <w:pStyle w:val="TableParagraph"/>
              <w:spacing w:line="390" w:lineRule="atLeast" w:before="6"/>
              <w:ind w:left="2" w:right="118"/>
              <w:rPr>
                <w:sz w:val="20"/>
              </w:rPr>
            </w:pPr>
            <w:r>
              <w:rPr>
                <w:sz w:val="20"/>
              </w:rPr>
              <w:t>公司结算电量及考核评价情况为准。保证屋顶光伏电站发电量不低于1500小时/千瓦/年(不可抗力因素除外)具体以合同签订时为准。</w:t>
            </w:r>
          </w:p>
        </w:tc>
      </w:tr>
      <w:tr>
        <w:trPr>
          <w:trHeight w:val="835" w:hRule="atLeast"/>
        </w:trPr>
        <w:tc>
          <w:tcPr>
            <w:tcW w:w="1168" w:type="dxa"/>
          </w:tcPr>
          <w:p>
            <w:pPr>
              <w:pStyle w:val="TableParagraph"/>
              <w:spacing w:before="4"/>
              <w:rPr>
                <w:b/>
                <w:sz w:val="24"/>
              </w:rPr>
            </w:pPr>
          </w:p>
          <w:p>
            <w:pPr>
              <w:pStyle w:val="TableParagraph"/>
              <w:spacing w:before="1"/>
              <w:ind w:right="423"/>
              <w:jc w:val="right"/>
              <w:rPr>
                <w:rFonts w:ascii="Times New Roman"/>
                <w:sz w:val="20"/>
              </w:rPr>
            </w:pPr>
            <w:r>
              <w:rPr>
                <w:rFonts w:ascii="Times New Roman"/>
                <w:sz w:val="20"/>
              </w:rPr>
              <w:t>48</w:t>
            </w:r>
          </w:p>
        </w:tc>
        <w:tc>
          <w:tcPr>
            <w:tcW w:w="8701" w:type="dxa"/>
            <w:gridSpan w:val="4"/>
          </w:tcPr>
          <w:p>
            <w:pPr>
              <w:pStyle w:val="TableParagraph"/>
              <w:spacing w:before="28"/>
              <w:ind w:left="535"/>
              <w:rPr>
                <w:sz w:val="20"/>
              </w:rPr>
            </w:pPr>
            <w:r>
              <w:rPr>
                <w:sz w:val="20"/>
              </w:rPr>
              <w:t>本招标文件凡是用“</w:t>
            </w:r>
            <w:r>
              <w:rPr>
                <w:rFonts w:ascii="黑体" w:hAnsi="黑体" w:eastAsia="黑体" w:hint="eastAsia"/>
                <w:sz w:val="20"/>
              </w:rPr>
              <w:t>黑体 </w:t>
            </w:r>
            <w:r>
              <w:rPr>
                <w:sz w:val="20"/>
              </w:rPr>
              <w:t>”字体标志的内容，均属于实质性要求和条件。</w:t>
            </w:r>
          </w:p>
          <w:p>
            <w:pPr>
              <w:pStyle w:val="TableParagraph"/>
              <w:spacing w:line="250" w:lineRule="atLeast" w:before="22"/>
              <w:ind w:left="112" w:right="236" w:firstLine="422"/>
              <w:rPr>
                <w:sz w:val="20"/>
              </w:rPr>
            </w:pPr>
            <w:r>
              <w:rPr>
                <w:sz w:val="20"/>
              </w:rPr>
              <w:t>投标文件存在不符合招标文件规定的实质性要求和条件的情况的，经评标委员会评审、确定后，按否决投标处理。</w:t>
            </w:r>
          </w:p>
        </w:tc>
      </w:tr>
    </w:tbl>
    <w:p>
      <w:pPr>
        <w:spacing w:after="0" w:line="250" w:lineRule="atLeast"/>
        <w:rPr>
          <w:sz w:val="20"/>
        </w:rPr>
        <w:sectPr>
          <w:pgSz w:w="11910" w:h="16840"/>
          <w:pgMar w:header="0" w:footer="690" w:top="1400" w:bottom="880" w:left="1300" w:right="500"/>
        </w:sectPr>
      </w:pPr>
    </w:p>
    <w:p>
      <w:pPr>
        <w:pStyle w:val="Heading4"/>
        <w:spacing w:before="29"/>
        <w:ind w:left="1121"/>
      </w:pPr>
      <w:r>
        <w:rPr/>
        <w:t>1.总则</w:t>
      </w:r>
    </w:p>
    <w:p>
      <w:pPr>
        <w:pStyle w:val="BodyText"/>
        <w:spacing w:before="6"/>
        <w:rPr>
          <w:rFonts w:ascii="黑体"/>
          <w:sz w:val="28"/>
        </w:rPr>
      </w:pPr>
    </w:p>
    <w:p>
      <w:pPr>
        <w:pStyle w:val="Heading7"/>
        <w:numPr>
          <w:ilvl w:val="1"/>
          <w:numId w:val="8"/>
        </w:numPr>
        <w:tabs>
          <w:tab w:pos="1321" w:val="left" w:leader="none"/>
        </w:tabs>
        <w:spacing w:line="240" w:lineRule="auto" w:before="0" w:after="0"/>
        <w:ind w:left="1320" w:right="0" w:hanging="492"/>
        <w:jc w:val="left"/>
      </w:pPr>
      <w:r>
        <w:rPr>
          <w:spacing w:val="-5"/>
        </w:rPr>
        <w:t>招标项目概况</w:t>
      </w:r>
    </w:p>
    <w:p>
      <w:pPr>
        <w:pStyle w:val="BodyText"/>
        <w:spacing w:before="9"/>
        <w:rPr>
          <w:rFonts w:ascii="黑体"/>
          <w:sz w:val="29"/>
        </w:rPr>
      </w:pPr>
    </w:p>
    <w:p>
      <w:pPr>
        <w:pStyle w:val="BodyText"/>
        <w:spacing w:line="364" w:lineRule="auto"/>
        <w:ind w:left="115" w:right="1091" w:firstLine="436"/>
        <w:jc w:val="both"/>
      </w:pPr>
      <w:r>
        <w:rPr>
          <w:rFonts w:ascii="Times New Roman" w:eastAsia="Times New Roman"/>
        </w:rPr>
        <w:t>1. 1. 1 </w:t>
      </w:r>
      <w:r>
        <w:rPr/>
        <w:t>根据《中华人民共和国招标投标法》 、《中华人民共和国招标投标法实施条例》等有关法 律、法规和规章的规定，本招标项目已具备招标条件，现对光伏电站示范项目运维服务进行招标。</w:t>
      </w:r>
    </w:p>
    <w:p>
      <w:pPr>
        <w:pStyle w:val="BodyText"/>
        <w:spacing w:before="10"/>
        <w:rPr>
          <w:sz w:val="21"/>
        </w:rPr>
      </w:pPr>
    </w:p>
    <w:p>
      <w:pPr>
        <w:pStyle w:val="BodyText"/>
        <w:ind w:left="552"/>
      </w:pPr>
      <w:r>
        <w:rPr>
          <w:rFonts w:ascii="Times New Roman" w:eastAsia="Times New Roman"/>
        </w:rPr>
        <w:t>1. 1.2 </w:t>
      </w:r>
      <w:r>
        <w:rPr/>
        <w:t>招标人：见投标人须知前附表（如有，以下同）。</w:t>
      </w:r>
    </w:p>
    <w:p>
      <w:pPr>
        <w:pStyle w:val="BodyText"/>
        <w:spacing w:before="6"/>
        <w:rPr>
          <w:sz w:val="32"/>
        </w:rPr>
      </w:pPr>
    </w:p>
    <w:p>
      <w:pPr>
        <w:pStyle w:val="BodyText"/>
        <w:ind w:left="552"/>
      </w:pPr>
      <w:r>
        <w:rPr>
          <w:rFonts w:ascii="Times New Roman" w:eastAsia="Times New Roman"/>
        </w:rPr>
        <w:t>1. 1.3 </w:t>
      </w:r>
      <w:r>
        <w:rPr/>
        <w:t>招标代理机构：见投标人须知前附表。</w:t>
      </w:r>
    </w:p>
    <w:p>
      <w:pPr>
        <w:pStyle w:val="BodyText"/>
        <w:spacing w:before="5"/>
        <w:rPr>
          <w:sz w:val="32"/>
        </w:rPr>
      </w:pPr>
    </w:p>
    <w:p>
      <w:pPr>
        <w:pStyle w:val="BodyText"/>
        <w:spacing w:before="1"/>
        <w:ind w:left="552"/>
      </w:pPr>
      <w:r>
        <w:rPr>
          <w:rFonts w:ascii="Times New Roman" w:eastAsia="Times New Roman"/>
        </w:rPr>
        <w:t>1. 1.4 </w:t>
      </w:r>
      <w:r>
        <w:rPr/>
        <w:t>招标项目名称：见投标人须知前附表。</w:t>
      </w:r>
    </w:p>
    <w:p>
      <w:pPr>
        <w:pStyle w:val="BodyText"/>
        <w:spacing w:before="3"/>
        <w:rPr>
          <w:sz w:val="32"/>
        </w:rPr>
      </w:pPr>
    </w:p>
    <w:p>
      <w:pPr>
        <w:pStyle w:val="BodyText"/>
        <w:ind w:left="552"/>
      </w:pPr>
      <w:r>
        <w:rPr>
          <w:rFonts w:ascii="Times New Roman" w:eastAsia="Times New Roman"/>
        </w:rPr>
        <w:t>1. 1.5 </w:t>
      </w:r>
      <w:r>
        <w:rPr/>
        <w:t>项目建设地点：见投标人须知前附表。</w:t>
      </w:r>
    </w:p>
    <w:p>
      <w:pPr>
        <w:pStyle w:val="BodyText"/>
        <w:spacing w:before="3"/>
        <w:rPr>
          <w:sz w:val="32"/>
        </w:rPr>
      </w:pPr>
    </w:p>
    <w:p>
      <w:pPr>
        <w:pStyle w:val="BodyText"/>
        <w:ind w:left="552"/>
      </w:pPr>
      <w:r>
        <w:rPr>
          <w:rFonts w:ascii="Times New Roman" w:eastAsia="Times New Roman"/>
        </w:rPr>
        <w:t>1. 1.6 </w:t>
      </w:r>
      <w:r>
        <w:rPr/>
        <w:t>项目建设规模：见投标人须知前附表。</w:t>
      </w:r>
    </w:p>
    <w:p>
      <w:pPr>
        <w:pStyle w:val="BodyText"/>
        <w:spacing w:before="3"/>
        <w:rPr>
          <w:sz w:val="32"/>
        </w:rPr>
      </w:pPr>
    </w:p>
    <w:p>
      <w:pPr>
        <w:pStyle w:val="BodyText"/>
        <w:spacing w:before="1"/>
        <w:ind w:left="552"/>
      </w:pPr>
      <w:r>
        <w:rPr>
          <w:rFonts w:ascii="Times New Roman" w:eastAsia="Times New Roman"/>
        </w:rPr>
        <w:t>1. 1.7 </w:t>
      </w:r>
      <w:r>
        <w:rPr/>
        <w:t>工程项目施工预计开工日期和建设周期：见投标人须知前附表。</w:t>
      </w:r>
    </w:p>
    <w:p>
      <w:pPr>
        <w:pStyle w:val="BodyText"/>
        <w:spacing w:before="3"/>
        <w:rPr>
          <w:sz w:val="32"/>
        </w:rPr>
      </w:pPr>
    </w:p>
    <w:p>
      <w:pPr>
        <w:pStyle w:val="BodyText"/>
        <w:ind w:left="552"/>
      </w:pPr>
      <w:r>
        <w:rPr>
          <w:rFonts w:ascii="Times New Roman" w:eastAsia="Times New Roman"/>
        </w:rPr>
        <w:t>1. 1.8 </w:t>
      </w:r>
      <w:r>
        <w:rPr/>
        <w:t>招标预算金额：见投标人须知前附表。</w:t>
      </w:r>
    </w:p>
    <w:p>
      <w:pPr>
        <w:pStyle w:val="BodyText"/>
        <w:rPr>
          <w:sz w:val="22"/>
        </w:rPr>
      </w:pPr>
    </w:p>
    <w:p>
      <w:pPr>
        <w:pStyle w:val="Heading7"/>
        <w:numPr>
          <w:ilvl w:val="1"/>
          <w:numId w:val="8"/>
        </w:numPr>
        <w:tabs>
          <w:tab w:pos="1326" w:val="left" w:leader="none"/>
        </w:tabs>
        <w:spacing w:line="240" w:lineRule="auto" w:before="145" w:after="0"/>
        <w:ind w:left="1325" w:right="0" w:hanging="497"/>
        <w:jc w:val="left"/>
      </w:pPr>
      <w:r>
        <w:rPr>
          <w:spacing w:val="-5"/>
        </w:rPr>
        <w:t>招标项目的资金来源和落实情况</w:t>
      </w:r>
    </w:p>
    <w:p>
      <w:pPr>
        <w:pStyle w:val="BodyText"/>
        <w:spacing w:before="12"/>
        <w:rPr>
          <w:rFonts w:ascii="黑体"/>
          <w:sz w:val="29"/>
        </w:rPr>
      </w:pPr>
    </w:p>
    <w:p>
      <w:pPr>
        <w:pStyle w:val="ListParagraph"/>
        <w:numPr>
          <w:ilvl w:val="1"/>
          <w:numId w:val="9"/>
        </w:numPr>
        <w:tabs>
          <w:tab w:pos="908" w:val="left" w:leader="none"/>
        </w:tabs>
        <w:spacing w:line="240" w:lineRule="auto" w:before="0" w:after="0"/>
        <w:ind w:left="908" w:right="0" w:hanging="356"/>
        <w:jc w:val="left"/>
        <w:rPr>
          <w:sz w:val="20"/>
        </w:rPr>
      </w:pPr>
      <w:r>
        <w:rPr>
          <w:rFonts w:ascii="Times New Roman" w:eastAsia="Times New Roman"/>
          <w:sz w:val="20"/>
        </w:rPr>
        <w:t>1</w:t>
      </w:r>
      <w:r>
        <w:rPr>
          <w:rFonts w:ascii="Times New Roman" w:eastAsia="Times New Roman"/>
          <w:spacing w:val="10"/>
          <w:sz w:val="20"/>
        </w:rPr>
        <w:t> </w:t>
      </w:r>
      <w:r>
        <w:rPr>
          <w:spacing w:val="3"/>
          <w:sz w:val="20"/>
        </w:rPr>
        <w:t>资金来源及比例：见投标人须知前附表。</w:t>
      </w:r>
    </w:p>
    <w:p>
      <w:pPr>
        <w:pStyle w:val="BodyText"/>
        <w:spacing w:before="3"/>
        <w:rPr>
          <w:sz w:val="32"/>
        </w:rPr>
      </w:pPr>
    </w:p>
    <w:p>
      <w:pPr>
        <w:pStyle w:val="BodyText"/>
        <w:spacing w:before="1"/>
        <w:ind w:left="552"/>
      </w:pPr>
      <w:r>
        <w:rPr>
          <w:rFonts w:ascii="Times New Roman" w:eastAsia="Times New Roman"/>
        </w:rPr>
        <w:t>1.2.2 </w:t>
      </w:r>
      <w:r>
        <w:rPr/>
        <w:t>资金落实情况：见投标人须知前附表。</w:t>
      </w:r>
    </w:p>
    <w:p>
      <w:pPr>
        <w:pStyle w:val="BodyText"/>
        <w:rPr>
          <w:sz w:val="22"/>
        </w:rPr>
      </w:pPr>
    </w:p>
    <w:p>
      <w:pPr>
        <w:pStyle w:val="Heading7"/>
        <w:spacing w:before="142"/>
        <w:ind w:left="828"/>
      </w:pPr>
      <w:r>
        <w:rPr/>
        <w:t>1.3 招标范围、验收服务期限和质量标准</w:t>
      </w:r>
    </w:p>
    <w:p>
      <w:pPr>
        <w:pStyle w:val="BodyText"/>
        <w:spacing w:before="12"/>
        <w:rPr>
          <w:rFonts w:ascii="黑体"/>
          <w:sz w:val="29"/>
        </w:rPr>
      </w:pPr>
    </w:p>
    <w:p>
      <w:pPr>
        <w:pStyle w:val="ListParagraph"/>
        <w:numPr>
          <w:ilvl w:val="1"/>
          <w:numId w:val="9"/>
        </w:numPr>
        <w:tabs>
          <w:tab w:pos="911" w:val="left" w:leader="none"/>
        </w:tabs>
        <w:spacing w:line="240" w:lineRule="auto" w:before="0" w:after="0"/>
        <w:ind w:left="910" w:right="0" w:hanging="358"/>
        <w:jc w:val="left"/>
        <w:rPr>
          <w:sz w:val="20"/>
        </w:rPr>
      </w:pPr>
      <w:r>
        <w:rPr>
          <w:rFonts w:ascii="Times New Roman" w:eastAsia="Times New Roman"/>
          <w:sz w:val="20"/>
        </w:rPr>
        <w:t>1</w:t>
      </w:r>
      <w:r>
        <w:rPr>
          <w:rFonts w:ascii="Times New Roman" w:eastAsia="Times New Roman"/>
          <w:spacing w:val="6"/>
          <w:sz w:val="20"/>
        </w:rPr>
        <w:t> </w:t>
      </w:r>
      <w:r>
        <w:rPr>
          <w:spacing w:val="3"/>
          <w:sz w:val="20"/>
        </w:rPr>
        <w:t>招标范围：见投标人须知前附表。</w:t>
      </w:r>
    </w:p>
    <w:p>
      <w:pPr>
        <w:pStyle w:val="BodyText"/>
        <w:spacing w:before="3"/>
        <w:rPr>
          <w:sz w:val="32"/>
        </w:rPr>
      </w:pPr>
    </w:p>
    <w:p>
      <w:pPr>
        <w:pStyle w:val="ListParagraph"/>
        <w:numPr>
          <w:ilvl w:val="2"/>
          <w:numId w:val="10"/>
        </w:numPr>
        <w:tabs>
          <w:tab w:pos="1040" w:val="left" w:leader="none"/>
        </w:tabs>
        <w:spacing w:line="240" w:lineRule="auto" w:before="1" w:after="0"/>
        <w:ind w:left="1040" w:right="0" w:hanging="488"/>
        <w:jc w:val="left"/>
        <w:rPr>
          <w:sz w:val="20"/>
        </w:rPr>
      </w:pPr>
      <w:r>
        <w:rPr>
          <w:spacing w:val="3"/>
          <w:w w:val="95"/>
          <w:sz w:val="20"/>
        </w:rPr>
        <w:t>服务期限：见投标人须知前附表。</w:t>
      </w:r>
    </w:p>
    <w:p>
      <w:pPr>
        <w:pStyle w:val="BodyText"/>
        <w:spacing w:before="3"/>
        <w:rPr>
          <w:sz w:val="32"/>
        </w:rPr>
      </w:pPr>
    </w:p>
    <w:p>
      <w:pPr>
        <w:pStyle w:val="ListParagraph"/>
        <w:numPr>
          <w:ilvl w:val="2"/>
          <w:numId w:val="10"/>
        </w:numPr>
        <w:tabs>
          <w:tab w:pos="1040" w:val="left" w:leader="none"/>
        </w:tabs>
        <w:spacing w:line="240" w:lineRule="auto" w:before="0" w:after="0"/>
        <w:ind w:left="1040" w:right="0" w:hanging="488"/>
        <w:jc w:val="left"/>
        <w:rPr>
          <w:sz w:val="20"/>
        </w:rPr>
      </w:pPr>
      <w:r>
        <w:rPr>
          <w:spacing w:val="3"/>
          <w:w w:val="95"/>
          <w:sz w:val="20"/>
        </w:rPr>
        <w:t>质量标准：见投标人须知前附表。</w:t>
      </w:r>
    </w:p>
    <w:p>
      <w:pPr>
        <w:pStyle w:val="BodyText"/>
        <w:rPr>
          <w:sz w:val="22"/>
        </w:rPr>
      </w:pPr>
    </w:p>
    <w:p>
      <w:pPr>
        <w:pStyle w:val="Heading7"/>
        <w:spacing w:before="147"/>
        <w:ind w:left="828"/>
      </w:pPr>
      <w:r>
        <w:rPr/>
        <w:t>1.4 投标人资格要求</w:t>
      </w:r>
    </w:p>
    <w:p>
      <w:pPr>
        <w:pStyle w:val="BodyText"/>
        <w:spacing w:before="8"/>
        <w:rPr>
          <w:rFonts w:ascii="黑体"/>
          <w:sz w:val="29"/>
        </w:rPr>
      </w:pPr>
    </w:p>
    <w:p>
      <w:pPr>
        <w:pStyle w:val="ListParagraph"/>
        <w:numPr>
          <w:ilvl w:val="1"/>
          <w:numId w:val="9"/>
        </w:numPr>
        <w:tabs>
          <w:tab w:pos="913" w:val="left" w:leader="none"/>
        </w:tabs>
        <w:spacing w:line="240" w:lineRule="auto" w:before="0" w:after="0"/>
        <w:ind w:left="912" w:right="0" w:hanging="360"/>
        <w:jc w:val="left"/>
        <w:rPr>
          <w:sz w:val="20"/>
        </w:rPr>
      </w:pPr>
      <w:r>
        <w:rPr>
          <w:rFonts w:ascii="Times New Roman" w:eastAsia="Times New Roman"/>
          <w:sz w:val="20"/>
        </w:rPr>
        <w:t>1</w:t>
      </w:r>
      <w:r>
        <w:rPr>
          <w:rFonts w:ascii="Times New Roman" w:eastAsia="Times New Roman"/>
          <w:spacing w:val="11"/>
          <w:sz w:val="20"/>
        </w:rPr>
        <w:t> </w:t>
      </w:r>
      <w:r>
        <w:rPr>
          <w:spacing w:val="3"/>
          <w:sz w:val="20"/>
        </w:rPr>
        <w:t>投标人应具备承担本招标项目资质条件、能力和信誉：</w:t>
      </w:r>
    </w:p>
    <w:p>
      <w:pPr>
        <w:spacing w:after="0" w:line="240" w:lineRule="auto"/>
        <w:jc w:val="left"/>
        <w:rPr>
          <w:sz w:val="20"/>
        </w:rPr>
        <w:sectPr>
          <w:footerReference w:type="default" r:id="rId20"/>
          <w:pgSz w:w="11910" w:h="16840"/>
          <w:pgMar w:footer="690" w:header="0" w:top="1420" w:bottom="880" w:left="1300" w:right="500"/>
          <w:pgNumType w:start="10"/>
        </w:sectPr>
      </w:pPr>
    </w:p>
    <w:p>
      <w:pPr>
        <w:pStyle w:val="BodyText"/>
        <w:spacing w:before="60"/>
        <w:ind w:left="440"/>
      </w:pPr>
      <w:r>
        <w:rPr/>
        <w:t>（</w:t>
      </w:r>
      <w:r>
        <w:rPr>
          <w:rFonts w:ascii="Times New Roman" w:eastAsia="Times New Roman"/>
        </w:rPr>
        <w:t>1</w:t>
      </w:r>
      <w:r>
        <w:rPr/>
        <w:t>）资质要求：见投标人须知前附表；</w:t>
      </w:r>
    </w:p>
    <w:p>
      <w:pPr>
        <w:pStyle w:val="BodyText"/>
        <w:spacing w:before="3"/>
        <w:rPr>
          <w:sz w:val="32"/>
        </w:rPr>
      </w:pPr>
    </w:p>
    <w:p>
      <w:pPr>
        <w:pStyle w:val="BodyText"/>
        <w:spacing w:before="1"/>
        <w:ind w:left="440"/>
      </w:pPr>
      <w:r>
        <w:rPr/>
        <w:t>（</w:t>
      </w:r>
      <w:r>
        <w:rPr>
          <w:rFonts w:ascii="Times New Roman" w:eastAsia="Times New Roman"/>
        </w:rPr>
        <w:t>2</w:t>
      </w:r>
      <w:r>
        <w:rPr/>
        <w:t>）财务要求：见投标人须知前附表；</w:t>
      </w:r>
    </w:p>
    <w:p>
      <w:pPr>
        <w:pStyle w:val="BodyText"/>
        <w:spacing w:before="3"/>
        <w:rPr>
          <w:sz w:val="32"/>
        </w:rPr>
      </w:pPr>
    </w:p>
    <w:p>
      <w:pPr>
        <w:pStyle w:val="BodyText"/>
        <w:ind w:left="440"/>
      </w:pPr>
      <w:r>
        <w:rPr/>
        <w:t>（</w:t>
      </w:r>
      <w:r>
        <w:rPr>
          <w:rFonts w:ascii="Times New Roman" w:eastAsia="Times New Roman"/>
        </w:rPr>
        <w:t>3</w:t>
      </w:r>
      <w:r>
        <w:rPr/>
        <w:t>）业绩要求：见投标人须知前附表；</w:t>
      </w:r>
    </w:p>
    <w:p>
      <w:pPr>
        <w:pStyle w:val="BodyText"/>
        <w:spacing w:before="8"/>
        <w:rPr>
          <w:sz w:val="32"/>
        </w:rPr>
      </w:pPr>
    </w:p>
    <w:p>
      <w:pPr>
        <w:pStyle w:val="BodyText"/>
        <w:ind w:left="440"/>
      </w:pPr>
      <w:r>
        <w:rPr/>
        <w:t>（</w:t>
      </w:r>
      <w:r>
        <w:rPr>
          <w:rFonts w:ascii="Times New Roman" w:eastAsia="Times New Roman"/>
        </w:rPr>
        <w:t>4</w:t>
      </w:r>
      <w:r>
        <w:rPr/>
        <w:t>）信誉要求：见投标人须知前附表；</w:t>
      </w:r>
    </w:p>
    <w:p>
      <w:pPr>
        <w:pStyle w:val="BodyText"/>
        <w:spacing w:before="3"/>
        <w:rPr>
          <w:sz w:val="32"/>
        </w:rPr>
      </w:pPr>
    </w:p>
    <w:p>
      <w:pPr>
        <w:pStyle w:val="BodyText"/>
        <w:spacing w:before="1"/>
        <w:ind w:left="440"/>
      </w:pPr>
      <w:r>
        <w:rPr/>
        <w:t>（</w:t>
      </w:r>
      <w:r>
        <w:rPr>
          <w:rFonts w:ascii="Times New Roman" w:eastAsia="Times New Roman"/>
        </w:rPr>
        <w:t>5</w:t>
      </w:r>
      <w:r>
        <w:rPr/>
        <w:t>）项目负责人的资格要求：见投标人须知前附表；</w:t>
      </w:r>
    </w:p>
    <w:p>
      <w:pPr>
        <w:pStyle w:val="BodyText"/>
        <w:spacing w:before="3"/>
        <w:rPr>
          <w:sz w:val="32"/>
        </w:rPr>
      </w:pPr>
    </w:p>
    <w:p>
      <w:pPr>
        <w:pStyle w:val="BodyText"/>
        <w:ind w:left="440"/>
      </w:pPr>
      <w:r>
        <w:rPr/>
        <w:t>（</w:t>
      </w:r>
      <w:r>
        <w:rPr>
          <w:rFonts w:ascii="Times New Roman" w:eastAsia="Times New Roman"/>
        </w:rPr>
        <w:t>6</w:t>
      </w:r>
      <w:r>
        <w:rPr/>
        <w:t>）其他主要人员要求：见投标人须知前附表。</w:t>
      </w:r>
    </w:p>
    <w:p>
      <w:pPr>
        <w:pStyle w:val="BodyText"/>
        <w:spacing w:before="12"/>
        <w:rPr>
          <w:sz w:val="21"/>
        </w:rPr>
      </w:pPr>
    </w:p>
    <w:p>
      <w:pPr>
        <w:pStyle w:val="BodyText"/>
        <w:ind w:left="440"/>
      </w:pPr>
      <w:r>
        <w:rPr/>
        <w:t>（</w:t>
      </w:r>
      <w:r>
        <w:rPr>
          <w:rFonts w:ascii="Times New Roman" w:eastAsia="Times New Roman"/>
        </w:rPr>
        <w:t>7</w:t>
      </w:r>
      <w:r>
        <w:rPr/>
        <w:t>）试验检测仪器设备要求：见投标人须知前附表。</w:t>
      </w:r>
    </w:p>
    <w:p>
      <w:pPr>
        <w:pStyle w:val="BodyText"/>
        <w:spacing w:before="1"/>
        <w:rPr>
          <w:sz w:val="32"/>
        </w:rPr>
      </w:pPr>
    </w:p>
    <w:p>
      <w:pPr>
        <w:pStyle w:val="BodyText"/>
        <w:ind w:left="440"/>
      </w:pPr>
      <w:r>
        <w:rPr/>
        <w:t>（</w:t>
      </w:r>
      <w:r>
        <w:rPr>
          <w:rFonts w:ascii="Times New Roman" w:eastAsia="Times New Roman"/>
        </w:rPr>
        <w:t>8</w:t>
      </w:r>
      <w:r>
        <w:rPr/>
        <w:t>）其他要求：见投标人须知前附表。</w:t>
      </w:r>
    </w:p>
    <w:p>
      <w:pPr>
        <w:pStyle w:val="BodyText"/>
        <w:spacing w:before="3"/>
        <w:rPr>
          <w:sz w:val="32"/>
        </w:rPr>
      </w:pPr>
    </w:p>
    <w:p>
      <w:pPr>
        <w:pStyle w:val="BodyText"/>
        <w:ind w:left="545"/>
      </w:pPr>
      <w:r>
        <w:rPr/>
        <w:t>需要提交的相关证明材料见本章第 </w:t>
      </w:r>
      <w:r>
        <w:rPr>
          <w:rFonts w:ascii="Times New Roman" w:eastAsia="Times New Roman"/>
        </w:rPr>
        <w:t>3.5 </w:t>
      </w:r>
      <w:r>
        <w:rPr/>
        <w:t>款的规定。</w:t>
      </w:r>
    </w:p>
    <w:p>
      <w:pPr>
        <w:pStyle w:val="BodyText"/>
        <w:spacing w:before="6"/>
        <w:rPr>
          <w:sz w:val="32"/>
        </w:rPr>
      </w:pPr>
    </w:p>
    <w:p>
      <w:pPr>
        <w:pStyle w:val="ListParagraph"/>
        <w:numPr>
          <w:ilvl w:val="2"/>
          <w:numId w:val="11"/>
        </w:numPr>
        <w:tabs>
          <w:tab w:pos="1057" w:val="left" w:leader="none"/>
        </w:tabs>
        <w:spacing w:line="364" w:lineRule="auto" w:before="0" w:after="0"/>
        <w:ind w:left="132" w:right="1125" w:firstLine="420"/>
        <w:jc w:val="left"/>
        <w:rPr>
          <w:sz w:val="20"/>
        </w:rPr>
      </w:pPr>
      <w:r>
        <w:rPr>
          <w:spacing w:val="5"/>
          <w:sz w:val="20"/>
        </w:rPr>
        <w:t>投标人须知前附表规定接受联合体投标的，联合体除应符合本章第 </w:t>
      </w:r>
      <w:r>
        <w:rPr>
          <w:rFonts w:ascii="Times New Roman" w:eastAsia="Times New Roman"/>
          <w:spacing w:val="5"/>
          <w:sz w:val="20"/>
        </w:rPr>
        <w:t>1.4</w:t>
      </w:r>
      <w:r>
        <w:rPr>
          <w:rFonts w:ascii="Times New Roman" w:eastAsia="Times New Roman"/>
          <w:spacing w:val="-4"/>
          <w:sz w:val="20"/>
        </w:rPr>
        <w:t>. </w:t>
      </w:r>
      <w:r>
        <w:rPr>
          <w:rFonts w:ascii="Times New Roman" w:eastAsia="Times New Roman"/>
          <w:sz w:val="20"/>
        </w:rPr>
        <w:t>1</w:t>
      </w:r>
      <w:r>
        <w:rPr>
          <w:rFonts w:ascii="Times New Roman" w:eastAsia="Times New Roman"/>
          <w:spacing w:val="16"/>
          <w:sz w:val="20"/>
        </w:rPr>
        <w:t> </w:t>
      </w:r>
      <w:r>
        <w:rPr>
          <w:spacing w:val="5"/>
          <w:sz w:val="20"/>
        </w:rPr>
        <w:t>项和投标人须</w:t>
      </w:r>
      <w:r>
        <w:rPr>
          <w:spacing w:val="2"/>
          <w:sz w:val="20"/>
        </w:rPr>
        <w:t>知前 附表的要求外，还应遵守以下规定：</w:t>
      </w:r>
    </w:p>
    <w:p>
      <w:pPr>
        <w:pStyle w:val="BodyText"/>
        <w:spacing w:before="8"/>
        <w:rPr>
          <w:sz w:val="21"/>
        </w:rPr>
      </w:pPr>
    </w:p>
    <w:p>
      <w:pPr>
        <w:pStyle w:val="BodyText"/>
        <w:spacing w:line="367" w:lineRule="auto"/>
        <w:ind w:left="115" w:right="1141" w:firstLine="324"/>
      </w:pPr>
      <w:r>
        <w:rPr/>
        <w:t>（</w:t>
      </w:r>
      <w:r>
        <w:rPr>
          <w:rFonts w:ascii="Times New Roman" w:eastAsia="Times New Roman"/>
        </w:rPr>
        <w:t>1</w:t>
      </w:r>
      <w:r>
        <w:rPr/>
        <w:t>）联合体各方应按招标文件提供的格式签订联合体协议书，明确联合体牵头人和各方权利义 务，并承诺就中标项目向招标人承担连带责任；</w:t>
      </w:r>
    </w:p>
    <w:p>
      <w:pPr>
        <w:pStyle w:val="BodyText"/>
        <w:spacing w:before="8"/>
        <w:rPr>
          <w:sz w:val="21"/>
        </w:rPr>
      </w:pPr>
    </w:p>
    <w:p>
      <w:pPr>
        <w:pStyle w:val="BodyText"/>
        <w:ind w:left="440"/>
      </w:pPr>
      <w:r>
        <w:rPr/>
        <w:t>（</w:t>
      </w:r>
      <w:r>
        <w:rPr>
          <w:rFonts w:ascii="Times New Roman" w:eastAsia="Times New Roman"/>
        </w:rPr>
        <w:t>2</w:t>
      </w:r>
      <w:r>
        <w:rPr/>
        <w:t>） 由同一专业的单位组成的联合体，按照资质等级较低的单位确定资质等级；</w:t>
      </w:r>
    </w:p>
    <w:p>
      <w:pPr>
        <w:pStyle w:val="BodyText"/>
        <w:spacing w:before="5"/>
        <w:rPr>
          <w:sz w:val="32"/>
        </w:rPr>
      </w:pPr>
    </w:p>
    <w:p>
      <w:pPr>
        <w:pStyle w:val="BodyText"/>
        <w:spacing w:line="364" w:lineRule="auto"/>
        <w:ind w:left="115" w:right="1126" w:firstLine="324"/>
      </w:pPr>
      <w:r>
        <w:rPr/>
        <w:t>（</w:t>
      </w:r>
      <w:r>
        <w:rPr>
          <w:rFonts w:ascii="Times New Roman" w:eastAsia="Times New Roman"/>
        </w:rPr>
        <w:t>3</w:t>
      </w:r>
      <w:r>
        <w:rPr/>
        <w:t>）联合体各方不得再以自己名义单独或参加其他联合体在本招标项目中投标，否则各相关投标 均无效。</w:t>
      </w:r>
    </w:p>
    <w:p>
      <w:pPr>
        <w:pStyle w:val="BodyText"/>
        <w:spacing w:before="11"/>
        <w:rPr>
          <w:sz w:val="21"/>
        </w:rPr>
      </w:pPr>
    </w:p>
    <w:p>
      <w:pPr>
        <w:pStyle w:val="ListParagraph"/>
        <w:numPr>
          <w:ilvl w:val="2"/>
          <w:numId w:val="11"/>
        </w:numPr>
        <w:tabs>
          <w:tab w:pos="1033" w:val="left" w:leader="none"/>
        </w:tabs>
        <w:spacing w:line="240" w:lineRule="auto" w:before="0" w:after="0"/>
        <w:ind w:left="1032" w:right="0" w:hanging="480"/>
        <w:jc w:val="left"/>
        <w:rPr>
          <w:sz w:val="20"/>
        </w:rPr>
      </w:pPr>
      <w:r>
        <w:rPr>
          <w:spacing w:val="3"/>
          <w:sz w:val="20"/>
        </w:rPr>
        <w:t>投标人不得存在下列情形之一：</w:t>
      </w:r>
    </w:p>
    <w:p>
      <w:pPr>
        <w:pStyle w:val="BodyText"/>
        <w:spacing w:before="3"/>
        <w:rPr>
          <w:sz w:val="32"/>
        </w:rPr>
      </w:pPr>
    </w:p>
    <w:p>
      <w:pPr>
        <w:pStyle w:val="BodyText"/>
        <w:ind w:left="440"/>
      </w:pPr>
      <w:r>
        <w:rPr/>
        <w:t>（</w:t>
      </w:r>
      <w:r>
        <w:rPr>
          <w:rFonts w:ascii="Times New Roman" w:eastAsia="Times New Roman"/>
        </w:rPr>
        <w:t>1</w:t>
      </w:r>
      <w:r>
        <w:rPr/>
        <w:t>）为招标人不具有独立法人资格的附属机构（单位）；</w:t>
      </w:r>
    </w:p>
    <w:p>
      <w:pPr>
        <w:pStyle w:val="BodyText"/>
        <w:spacing w:before="8"/>
        <w:rPr>
          <w:sz w:val="32"/>
        </w:rPr>
      </w:pPr>
    </w:p>
    <w:p>
      <w:pPr>
        <w:pStyle w:val="BodyText"/>
        <w:ind w:left="440"/>
      </w:pPr>
      <w:r>
        <w:rPr/>
        <w:t>（</w:t>
      </w:r>
      <w:r>
        <w:rPr>
          <w:rFonts w:ascii="Times New Roman" w:eastAsia="Times New Roman"/>
        </w:rPr>
        <w:t>2</w:t>
      </w:r>
      <w:r>
        <w:rPr/>
        <w:t>）与招标人存在利害关系且可能影响招标公正性；</w:t>
      </w:r>
    </w:p>
    <w:p>
      <w:pPr>
        <w:pStyle w:val="BodyText"/>
        <w:spacing w:before="1"/>
        <w:rPr>
          <w:sz w:val="32"/>
        </w:rPr>
      </w:pPr>
    </w:p>
    <w:p>
      <w:pPr>
        <w:pStyle w:val="BodyText"/>
        <w:ind w:left="440"/>
      </w:pPr>
      <w:r>
        <w:rPr/>
        <w:t>（</w:t>
      </w:r>
      <w:r>
        <w:rPr>
          <w:rFonts w:ascii="Times New Roman" w:eastAsia="Times New Roman"/>
        </w:rPr>
        <w:t>3</w:t>
      </w:r>
      <w:r>
        <w:rPr/>
        <w:t>）与本招标项目的其他投标人为同一个单位负责人；</w:t>
      </w:r>
    </w:p>
    <w:p>
      <w:pPr>
        <w:pStyle w:val="BodyText"/>
        <w:spacing w:before="3"/>
        <w:rPr>
          <w:sz w:val="32"/>
        </w:rPr>
      </w:pPr>
    </w:p>
    <w:p>
      <w:pPr>
        <w:pStyle w:val="BodyText"/>
        <w:spacing w:before="1"/>
        <w:ind w:left="440"/>
      </w:pPr>
      <w:r>
        <w:rPr/>
        <w:t>（</w:t>
      </w:r>
      <w:r>
        <w:rPr>
          <w:rFonts w:ascii="Times New Roman" w:eastAsia="Times New Roman"/>
        </w:rPr>
        <w:t>4</w:t>
      </w:r>
      <w:r>
        <w:rPr/>
        <w:t>）与本招标项目的其他投标人存在控股、管理关系；</w:t>
      </w:r>
    </w:p>
    <w:p>
      <w:pPr>
        <w:pStyle w:val="BodyText"/>
        <w:spacing w:before="5"/>
        <w:rPr>
          <w:sz w:val="32"/>
        </w:rPr>
      </w:pPr>
    </w:p>
    <w:p>
      <w:pPr>
        <w:pStyle w:val="BodyText"/>
        <w:ind w:left="440"/>
      </w:pPr>
      <w:r>
        <w:rPr/>
        <w:t>（</w:t>
      </w:r>
      <w:r>
        <w:rPr>
          <w:rFonts w:ascii="Times New Roman" w:eastAsia="Times New Roman"/>
        </w:rPr>
        <w:t>5</w:t>
      </w:r>
      <w:r>
        <w:rPr/>
        <w:t>）为本招标项目的代建人；</w:t>
      </w:r>
    </w:p>
    <w:p>
      <w:pPr>
        <w:spacing w:after="0"/>
        <w:sectPr>
          <w:pgSz w:w="11910" w:h="16840"/>
          <w:pgMar w:header="0" w:footer="690" w:top="1340" w:bottom="960" w:left="1300" w:right="500"/>
        </w:sectPr>
      </w:pPr>
    </w:p>
    <w:p>
      <w:pPr>
        <w:pStyle w:val="BodyText"/>
        <w:spacing w:before="60"/>
        <w:ind w:left="440"/>
      </w:pPr>
      <w:r>
        <w:rPr/>
        <w:t>（</w:t>
      </w:r>
      <w:r>
        <w:rPr>
          <w:rFonts w:ascii="Times New Roman" w:eastAsia="Times New Roman"/>
        </w:rPr>
        <w:t>6</w:t>
      </w:r>
      <w:r>
        <w:rPr/>
        <w:t>）为本招标项目的招标代理机构；</w:t>
      </w:r>
    </w:p>
    <w:p>
      <w:pPr>
        <w:pStyle w:val="BodyText"/>
        <w:spacing w:before="3"/>
        <w:rPr>
          <w:sz w:val="32"/>
        </w:rPr>
      </w:pPr>
    </w:p>
    <w:p>
      <w:pPr>
        <w:pStyle w:val="BodyText"/>
        <w:spacing w:before="1"/>
        <w:ind w:left="440"/>
      </w:pPr>
      <w:r>
        <w:rPr/>
        <w:t>（</w:t>
      </w:r>
      <w:r>
        <w:rPr>
          <w:rFonts w:ascii="Times New Roman" w:eastAsia="Times New Roman"/>
        </w:rPr>
        <w:t>7</w:t>
      </w:r>
      <w:r>
        <w:rPr/>
        <w:t>）与本招标项目的代建人或招标代理机构同为一个法定代表人；</w:t>
      </w:r>
    </w:p>
    <w:p>
      <w:pPr>
        <w:pStyle w:val="BodyText"/>
        <w:spacing w:before="5"/>
        <w:rPr>
          <w:sz w:val="32"/>
        </w:rPr>
      </w:pPr>
    </w:p>
    <w:p>
      <w:pPr>
        <w:pStyle w:val="BodyText"/>
        <w:ind w:left="440"/>
      </w:pPr>
      <w:r>
        <w:rPr/>
        <w:t>（</w:t>
      </w:r>
      <w:r>
        <w:rPr>
          <w:rFonts w:ascii="Times New Roman" w:eastAsia="Times New Roman"/>
        </w:rPr>
        <w:t>8</w:t>
      </w:r>
      <w:r>
        <w:rPr/>
        <w:t>）与本招标项目的代建人或招标代理机构存在控股或参股关系；</w:t>
      </w:r>
    </w:p>
    <w:p>
      <w:pPr>
        <w:pStyle w:val="BodyText"/>
        <w:spacing w:before="4"/>
        <w:rPr>
          <w:sz w:val="32"/>
        </w:rPr>
      </w:pPr>
    </w:p>
    <w:p>
      <w:pPr>
        <w:pStyle w:val="BodyText"/>
        <w:spacing w:line="367" w:lineRule="auto"/>
        <w:ind w:left="120" w:right="1126" w:firstLine="319"/>
      </w:pPr>
      <w:r>
        <w:rPr/>
        <w:t>（</w:t>
      </w:r>
      <w:r>
        <w:rPr>
          <w:rFonts w:ascii="Times New Roman" w:eastAsia="Times New Roman"/>
        </w:rPr>
        <w:t>9</w:t>
      </w:r>
      <w:r>
        <w:rPr/>
        <w:t>）与本招标项目的施工承包人以及建筑材料、建筑构配件和设备中标人有隶属关系或者其他利 害关系；</w:t>
      </w:r>
    </w:p>
    <w:p>
      <w:pPr>
        <w:pStyle w:val="BodyText"/>
        <w:spacing w:before="5"/>
        <w:rPr>
          <w:sz w:val="21"/>
        </w:rPr>
      </w:pPr>
    </w:p>
    <w:p>
      <w:pPr>
        <w:pStyle w:val="BodyText"/>
        <w:ind w:left="440"/>
      </w:pPr>
      <w:r>
        <w:rPr/>
        <w:t>（</w:t>
      </w:r>
      <w:r>
        <w:rPr>
          <w:rFonts w:ascii="Times New Roman" w:eastAsia="Times New Roman"/>
        </w:rPr>
        <w:t>10</w:t>
      </w:r>
      <w:r>
        <w:rPr/>
        <w:t>）被依法暂停或者取消投标资格；</w:t>
      </w:r>
    </w:p>
    <w:p>
      <w:pPr>
        <w:pStyle w:val="BodyText"/>
        <w:spacing w:before="5"/>
        <w:rPr>
          <w:sz w:val="32"/>
        </w:rPr>
      </w:pPr>
    </w:p>
    <w:p>
      <w:pPr>
        <w:pStyle w:val="BodyText"/>
        <w:spacing w:before="1"/>
        <w:ind w:left="440"/>
      </w:pPr>
      <w:r>
        <w:rPr/>
        <w:t>（</w:t>
      </w:r>
      <w:r>
        <w:rPr>
          <w:rFonts w:ascii="Times New Roman" w:eastAsia="Times New Roman"/>
        </w:rPr>
        <w:t>11</w:t>
      </w:r>
      <w:r>
        <w:rPr/>
        <w:t>）被责令停产停业、暂扣或者吊销许可证、暂扣或者吊销执照；</w:t>
      </w:r>
    </w:p>
    <w:p>
      <w:pPr>
        <w:pStyle w:val="BodyText"/>
        <w:spacing w:before="3"/>
        <w:rPr>
          <w:sz w:val="32"/>
        </w:rPr>
      </w:pPr>
    </w:p>
    <w:p>
      <w:pPr>
        <w:pStyle w:val="BodyText"/>
        <w:ind w:left="440"/>
      </w:pPr>
      <w:r>
        <w:rPr/>
        <w:t>（</w:t>
      </w:r>
      <w:r>
        <w:rPr>
          <w:rFonts w:ascii="Times New Roman" w:eastAsia="Times New Roman"/>
        </w:rPr>
        <w:t>12</w:t>
      </w:r>
      <w:r>
        <w:rPr/>
        <w:t>）进入清算程序，或被宣告破产，或其他丧失履约能力的情形；</w:t>
      </w:r>
    </w:p>
    <w:p>
      <w:pPr>
        <w:pStyle w:val="BodyText"/>
        <w:spacing w:before="6"/>
        <w:rPr>
          <w:sz w:val="32"/>
        </w:rPr>
      </w:pPr>
    </w:p>
    <w:p>
      <w:pPr>
        <w:pStyle w:val="BodyText"/>
        <w:spacing w:line="364" w:lineRule="auto"/>
        <w:ind w:left="440" w:right="1015"/>
      </w:pPr>
      <w:r>
        <w:rPr/>
        <w:t>（13）在最近三年内发生重大运维服务质量问题（以相关行业主管部门的行政处罚决定或司法机</w:t>
      </w:r>
    </w:p>
    <w:p>
      <w:pPr>
        <w:pStyle w:val="BodyText"/>
        <w:spacing w:before="10"/>
        <w:rPr>
          <w:sz w:val="21"/>
        </w:rPr>
      </w:pPr>
    </w:p>
    <w:p>
      <w:pPr>
        <w:pStyle w:val="BodyText"/>
        <w:ind w:left="115"/>
      </w:pPr>
      <w:r>
        <w:rPr/>
        <w:t>关出具的有关法律文书为准）；</w:t>
      </w:r>
    </w:p>
    <w:p>
      <w:pPr>
        <w:pStyle w:val="BodyText"/>
        <w:spacing w:before="10"/>
        <w:rPr>
          <w:sz w:val="21"/>
        </w:rPr>
      </w:pPr>
    </w:p>
    <w:p>
      <w:pPr>
        <w:pStyle w:val="BodyText"/>
        <w:ind w:left="442"/>
      </w:pPr>
      <w:r>
        <w:rPr/>
        <w:t>（</w:t>
      </w:r>
      <w:r>
        <w:rPr>
          <w:rFonts w:ascii="Times New Roman" w:eastAsia="Times New Roman"/>
        </w:rPr>
        <w:t>14</w:t>
      </w:r>
      <w:r>
        <w:rPr/>
        <w:t>）被工商行政管理机关在全国企业信用信息公示系统中列入严重违法失信企业名单；</w:t>
      </w:r>
    </w:p>
    <w:p>
      <w:pPr>
        <w:pStyle w:val="BodyText"/>
        <w:spacing w:before="10"/>
        <w:rPr>
          <w:sz w:val="29"/>
        </w:rPr>
      </w:pPr>
    </w:p>
    <w:p>
      <w:pPr>
        <w:pStyle w:val="BodyText"/>
        <w:spacing w:line="364" w:lineRule="auto" w:before="1"/>
        <w:ind w:left="115" w:right="930" w:firstLine="326"/>
      </w:pPr>
      <w:r>
        <w:rPr/>
        <w:t>（</w:t>
      </w:r>
      <w:r>
        <w:rPr>
          <w:rFonts w:ascii="Times New Roman" w:hAnsi="Times New Roman" w:eastAsia="Times New Roman"/>
        </w:rPr>
        <w:t>15</w:t>
      </w:r>
      <w:r>
        <w:rPr/>
        <w:t>）被最高人民法院在</w:t>
      </w:r>
      <w:r>
        <w:rPr>
          <w:rFonts w:ascii="Times New Roman" w:hAnsi="Times New Roman" w:eastAsia="Times New Roman"/>
        </w:rPr>
        <w:t>“</w:t>
      </w:r>
      <w:r>
        <w:rPr/>
        <w:t>信用中国</w:t>
      </w:r>
      <w:r>
        <w:rPr>
          <w:rFonts w:ascii="Times New Roman" w:hAnsi="Times New Roman" w:eastAsia="Times New Roman"/>
        </w:rPr>
        <w:t>”</w:t>
      </w:r>
      <w:r>
        <w:rPr/>
        <w:t>网站（</w:t>
      </w:r>
      <w:hyperlink r:id="rId14">
        <w:r>
          <w:rPr>
            <w:rFonts w:ascii="Times New Roman" w:hAnsi="Times New Roman" w:eastAsia="Times New Roman"/>
          </w:rPr>
          <w:t>www.creditchina.gov.cn</w:t>
        </w:r>
      </w:hyperlink>
      <w:r>
        <w:rPr/>
        <w:t>）或各级信用信息共享平台中列 入失信被执行人名单；</w:t>
      </w:r>
    </w:p>
    <w:p>
      <w:pPr>
        <w:pStyle w:val="BodyText"/>
        <w:spacing w:before="7"/>
        <w:rPr>
          <w:sz w:val="21"/>
        </w:rPr>
      </w:pPr>
    </w:p>
    <w:p>
      <w:pPr>
        <w:pStyle w:val="BodyText"/>
        <w:spacing w:line="367" w:lineRule="auto" w:before="1"/>
        <w:ind w:left="118" w:right="933" w:firstLine="321"/>
      </w:pPr>
      <w:r>
        <w:rPr/>
        <w:t>（</w:t>
      </w:r>
      <w:r>
        <w:rPr>
          <w:rFonts w:ascii="Times New Roman" w:eastAsia="Times New Roman"/>
        </w:rPr>
        <w:t>16</w:t>
      </w:r>
      <w:r>
        <w:rPr/>
        <w:t>）在近三年内投标人或其法定代表人、拟委任的项目负责人有行贿犯罪行为的（以检察机关 职务犯罪预防部门出具的查询结果为准）；</w:t>
      </w:r>
    </w:p>
    <w:p>
      <w:pPr>
        <w:pStyle w:val="BodyText"/>
        <w:spacing w:before="7"/>
        <w:rPr>
          <w:sz w:val="21"/>
        </w:rPr>
      </w:pPr>
    </w:p>
    <w:p>
      <w:pPr>
        <w:pStyle w:val="BodyText"/>
        <w:ind w:left="442"/>
      </w:pPr>
      <w:r>
        <w:rPr/>
        <w:t>（</w:t>
      </w:r>
      <w:r>
        <w:rPr>
          <w:rFonts w:ascii="Times New Roman" w:eastAsia="Times New Roman"/>
        </w:rPr>
        <w:t>17</w:t>
      </w:r>
      <w:r>
        <w:rPr/>
        <w:t>）法律法规或投标人须知前附表规定的其他情形。</w:t>
      </w:r>
    </w:p>
    <w:p>
      <w:pPr>
        <w:pStyle w:val="BodyText"/>
        <w:rPr>
          <w:sz w:val="22"/>
        </w:rPr>
      </w:pPr>
    </w:p>
    <w:p>
      <w:pPr>
        <w:pStyle w:val="Heading7"/>
        <w:numPr>
          <w:ilvl w:val="1"/>
          <w:numId w:val="12"/>
        </w:numPr>
        <w:tabs>
          <w:tab w:pos="1321" w:val="left" w:leader="none"/>
        </w:tabs>
        <w:spacing w:line="240" w:lineRule="auto" w:before="143" w:after="0"/>
        <w:ind w:left="1320" w:right="0" w:hanging="492"/>
        <w:jc w:val="left"/>
      </w:pPr>
      <w:r>
        <w:rPr>
          <w:spacing w:val="-6"/>
        </w:rPr>
        <w:t>费用承担</w:t>
      </w:r>
    </w:p>
    <w:p>
      <w:pPr>
        <w:pStyle w:val="BodyText"/>
        <w:spacing w:before="9"/>
        <w:rPr>
          <w:rFonts w:ascii="黑体"/>
          <w:sz w:val="29"/>
        </w:rPr>
      </w:pPr>
    </w:p>
    <w:p>
      <w:pPr>
        <w:pStyle w:val="BodyText"/>
        <w:spacing w:before="1"/>
        <w:ind w:left="540"/>
      </w:pPr>
      <w:r>
        <w:rPr/>
        <w:t>投标人准备和参加投标活动发生的费用自理。</w:t>
      </w:r>
    </w:p>
    <w:p>
      <w:pPr>
        <w:pStyle w:val="BodyText"/>
      </w:pPr>
    </w:p>
    <w:p>
      <w:pPr>
        <w:pStyle w:val="Heading7"/>
        <w:numPr>
          <w:ilvl w:val="1"/>
          <w:numId w:val="12"/>
        </w:numPr>
        <w:tabs>
          <w:tab w:pos="1312" w:val="left" w:leader="none"/>
        </w:tabs>
        <w:spacing w:line="240" w:lineRule="auto" w:before="165" w:after="0"/>
        <w:ind w:left="1311" w:right="0" w:hanging="483"/>
        <w:jc w:val="left"/>
      </w:pPr>
      <w:r>
        <w:rPr>
          <w:spacing w:val="-4"/>
        </w:rPr>
        <w:t>保密</w:t>
      </w:r>
    </w:p>
    <w:p>
      <w:pPr>
        <w:pStyle w:val="BodyText"/>
        <w:spacing w:before="12"/>
        <w:rPr>
          <w:rFonts w:ascii="黑体"/>
          <w:sz w:val="29"/>
        </w:rPr>
      </w:pPr>
    </w:p>
    <w:p>
      <w:pPr>
        <w:pStyle w:val="BodyText"/>
        <w:spacing w:line="364" w:lineRule="auto" w:before="1"/>
        <w:ind w:left="132" w:right="926" w:firstLine="405"/>
      </w:pPr>
      <w:r>
        <w:rPr/>
        <w:t>参与招标投标活动的各方应对招标文件和投标文件中的商业和技术等秘密保密，否则应承担相应 的法律责任。</w:t>
      </w:r>
    </w:p>
    <w:p>
      <w:pPr>
        <w:pStyle w:val="Heading7"/>
        <w:numPr>
          <w:ilvl w:val="1"/>
          <w:numId w:val="12"/>
        </w:numPr>
        <w:tabs>
          <w:tab w:pos="1316" w:val="left" w:leader="none"/>
        </w:tabs>
        <w:spacing w:line="240" w:lineRule="auto" w:before="165" w:after="0"/>
        <w:ind w:left="1316" w:right="0" w:hanging="488"/>
        <w:jc w:val="left"/>
      </w:pPr>
      <w:r>
        <w:rPr>
          <w:spacing w:val="-6"/>
        </w:rPr>
        <w:t>语言文字</w:t>
      </w:r>
    </w:p>
    <w:p>
      <w:pPr>
        <w:spacing w:after="0" w:line="240" w:lineRule="auto"/>
        <w:jc w:val="left"/>
        <w:sectPr>
          <w:pgSz w:w="11910" w:h="16840"/>
          <w:pgMar w:header="0" w:footer="690" w:top="1340" w:bottom="960" w:left="1300" w:right="500"/>
        </w:sectPr>
      </w:pPr>
    </w:p>
    <w:p>
      <w:pPr>
        <w:pStyle w:val="BodyText"/>
        <w:spacing w:before="60"/>
        <w:ind w:left="538"/>
      </w:pPr>
      <w:r>
        <w:rPr/>
        <w:t>招标投标文件使用的语言文字为中文。专用术语使用外文的，应附有中文注释。</w:t>
      </w:r>
    </w:p>
    <w:p>
      <w:pPr>
        <w:pStyle w:val="BodyText"/>
      </w:pPr>
    </w:p>
    <w:p>
      <w:pPr>
        <w:pStyle w:val="Heading7"/>
        <w:numPr>
          <w:ilvl w:val="1"/>
          <w:numId w:val="12"/>
        </w:numPr>
        <w:tabs>
          <w:tab w:pos="1321" w:val="left" w:leader="none"/>
        </w:tabs>
        <w:spacing w:line="240" w:lineRule="auto" w:before="169" w:after="0"/>
        <w:ind w:left="1320" w:right="0" w:hanging="492"/>
        <w:jc w:val="left"/>
      </w:pPr>
      <w:r>
        <w:rPr>
          <w:spacing w:val="-6"/>
        </w:rPr>
        <w:t>计量单位</w:t>
      </w:r>
    </w:p>
    <w:p>
      <w:pPr>
        <w:pStyle w:val="BodyText"/>
        <w:spacing w:before="9"/>
        <w:rPr>
          <w:rFonts w:ascii="黑体"/>
          <w:sz w:val="29"/>
        </w:rPr>
      </w:pPr>
    </w:p>
    <w:p>
      <w:pPr>
        <w:pStyle w:val="BodyText"/>
        <w:ind w:left="535"/>
      </w:pPr>
      <w:r>
        <w:rPr/>
        <w:t>所有计量均采用中华人民共和国法定计量单位。</w:t>
      </w:r>
    </w:p>
    <w:p>
      <w:pPr>
        <w:pStyle w:val="BodyText"/>
      </w:pPr>
    </w:p>
    <w:p>
      <w:pPr>
        <w:pStyle w:val="Heading7"/>
        <w:numPr>
          <w:ilvl w:val="1"/>
          <w:numId w:val="12"/>
        </w:numPr>
        <w:tabs>
          <w:tab w:pos="1321" w:val="left" w:leader="none"/>
        </w:tabs>
        <w:spacing w:line="240" w:lineRule="auto" w:before="169" w:after="0"/>
        <w:ind w:left="1320" w:right="0" w:hanging="492"/>
        <w:jc w:val="left"/>
      </w:pPr>
      <w:r>
        <w:rPr>
          <w:spacing w:val="-6"/>
        </w:rPr>
        <w:t>踏勘现场</w:t>
      </w:r>
    </w:p>
    <w:p>
      <w:pPr>
        <w:pStyle w:val="BodyText"/>
        <w:spacing w:before="11"/>
        <w:rPr>
          <w:rFonts w:ascii="黑体"/>
          <w:sz w:val="29"/>
        </w:rPr>
      </w:pPr>
    </w:p>
    <w:p>
      <w:pPr>
        <w:pStyle w:val="ListParagraph"/>
        <w:numPr>
          <w:ilvl w:val="2"/>
          <w:numId w:val="13"/>
        </w:numPr>
        <w:tabs>
          <w:tab w:pos="1062" w:val="left" w:leader="none"/>
        </w:tabs>
        <w:spacing w:line="364" w:lineRule="auto" w:before="1" w:after="0"/>
        <w:ind w:left="120" w:right="1115" w:firstLine="428"/>
        <w:jc w:val="left"/>
        <w:rPr>
          <w:sz w:val="20"/>
        </w:rPr>
      </w:pPr>
      <w:r>
        <w:rPr>
          <w:spacing w:val="5"/>
          <w:sz w:val="20"/>
        </w:rPr>
        <w:t>投标人须知前附表规定组织踏勘现场的，招标人按投标人须知前附表规定的时间、地点</w:t>
      </w:r>
      <w:r>
        <w:rPr>
          <w:spacing w:val="2"/>
          <w:sz w:val="20"/>
        </w:rPr>
        <w:t>组织 投标人踏勘项目现场。部分投标人未按时参加踏勘现场的，不影响踏勘现场的正常进行。</w:t>
      </w:r>
    </w:p>
    <w:p>
      <w:pPr>
        <w:pStyle w:val="BodyText"/>
        <w:spacing w:before="12"/>
        <w:rPr>
          <w:sz w:val="21"/>
        </w:rPr>
      </w:pPr>
    </w:p>
    <w:p>
      <w:pPr>
        <w:pStyle w:val="ListParagraph"/>
        <w:numPr>
          <w:ilvl w:val="2"/>
          <w:numId w:val="13"/>
        </w:numPr>
        <w:tabs>
          <w:tab w:pos="1055" w:val="left" w:leader="none"/>
        </w:tabs>
        <w:spacing w:line="240" w:lineRule="auto" w:before="0" w:after="0"/>
        <w:ind w:left="1054" w:right="0" w:hanging="506"/>
        <w:jc w:val="left"/>
        <w:rPr>
          <w:sz w:val="20"/>
        </w:rPr>
      </w:pPr>
      <w:r>
        <w:rPr>
          <w:spacing w:val="3"/>
          <w:sz w:val="20"/>
        </w:rPr>
        <w:t>投标人踏勘现场发生的费用自理。</w:t>
      </w:r>
    </w:p>
    <w:p>
      <w:pPr>
        <w:pStyle w:val="BodyText"/>
        <w:spacing w:before="4"/>
        <w:rPr>
          <w:sz w:val="32"/>
        </w:rPr>
      </w:pPr>
    </w:p>
    <w:p>
      <w:pPr>
        <w:pStyle w:val="ListParagraph"/>
        <w:numPr>
          <w:ilvl w:val="2"/>
          <w:numId w:val="13"/>
        </w:numPr>
        <w:tabs>
          <w:tab w:pos="1069" w:val="left" w:leader="none"/>
        </w:tabs>
        <w:spacing w:line="240" w:lineRule="auto" w:before="0" w:after="0"/>
        <w:ind w:left="1068" w:right="0" w:hanging="520"/>
        <w:jc w:val="left"/>
        <w:rPr>
          <w:sz w:val="20"/>
        </w:rPr>
      </w:pPr>
      <w:r>
        <w:rPr>
          <w:spacing w:val="5"/>
          <w:sz w:val="20"/>
        </w:rPr>
        <w:t>除招标人的原因外，投标人自行负责在踏勘现场中所发生的人员伤亡和财产损失。</w:t>
      </w:r>
    </w:p>
    <w:p>
      <w:pPr>
        <w:pStyle w:val="BodyText"/>
        <w:spacing w:before="3"/>
        <w:rPr>
          <w:sz w:val="32"/>
        </w:rPr>
      </w:pPr>
    </w:p>
    <w:p>
      <w:pPr>
        <w:pStyle w:val="ListParagraph"/>
        <w:numPr>
          <w:ilvl w:val="2"/>
          <w:numId w:val="13"/>
        </w:numPr>
        <w:tabs>
          <w:tab w:pos="1060" w:val="left" w:leader="none"/>
        </w:tabs>
        <w:spacing w:line="364" w:lineRule="auto" w:before="0" w:after="0"/>
        <w:ind w:left="116" w:right="1117" w:firstLine="429"/>
        <w:jc w:val="left"/>
        <w:rPr>
          <w:sz w:val="20"/>
        </w:rPr>
      </w:pPr>
      <w:r>
        <w:rPr>
          <w:spacing w:val="5"/>
          <w:sz w:val="20"/>
        </w:rPr>
        <w:t>招标人在踏勘现场中介绍的工程场地和相关的周边环境情况，供投标人在编制投标文件</w:t>
      </w:r>
      <w:r>
        <w:rPr>
          <w:spacing w:val="2"/>
          <w:sz w:val="20"/>
        </w:rPr>
        <w:t>时参 考，招标人不对投标人据此作出的判断和决策负责。</w:t>
      </w:r>
    </w:p>
    <w:p>
      <w:pPr>
        <w:pStyle w:val="BodyText"/>
        <w:spacing w:before="9"/>
        <w:rPr>
          <w:sz w:val="22"/>
        </w:rPr>
      </w:pPr>
    </w:p>
    <w:p>
      <w:pPr>
        <w:pStyle w:val="Heading7"/>
        <w:ind w:left="828"/>
      </w:pPr>
      <w:r>
        <w:rPr/>
        <w:t>1.10 投标预备会</w:t>
      </w:r>
    </w:p>
    <w:p>
      <w:pPr>
        <w:pStyle w:val="BodyText"/>
        <w:spacing w:before="12"/>
        <w:rPr>
          <w:rFonts w:ascii="黑体"/>
          <w:sz w:val="29"/>
        </w:rPr>
      </w:pPr>
    </w:p>
    <w:p>
      <w:pPr>
        <w:pStyle w:val="ListParagraph"/>
        <w:numPr>
          <w:ilvl w:val="2"/>
          <w:numId w:val="14"/>
        </w:numPr>
        <w:tabs>
          <w:tab w:pos="1189" w:val="left" w:leader="none"/>
        </w:tabs>
        <w:spacing w:line="364" w:lineRule="auto" w:before="0" w:after="0"/>
        <w:ind w:left="125" w:right="1125" w:firstLine="420"/>
        <w:jc w:val="left"/>
        <w:rPr>
          <w:sz w:val="20"/>
        </w:rPr>
      </w:pPr>
      <w:r>
        <w:rPr>
          <w:spacing w:val="6"/>
          <w:sz w:val="20"/>
        </w:rPr>
        <w:t>投标人须知前附表规定召开投标预备会的，招标人按投标人须知前附表规定的时间和</w:t>
      </w:r>
      <w:r>
        <w:rPr>
          <w:spacing w:val="2"/>
          <w:sz w:val="20"/>
        </w:rPr>
        <w:t>地点 召开投标预备会，澄清投标人提出的问题。</w:t>
      </w:r>
    </w:p>
    <w:p>
      <w:pPr>
        <w:pStyle w:val="BodyText"/>
        <w:spacing w:before="10"/>
        <w:rPr>
          <w:sz w:val="21"/>
        </w:rPr>
      </w:pPr>
    </w:p>
    <w:p>
      <w:pPr>
        <w:pStyle w:val="ListParagraph"/>
        <w:numPr>
          <w:ilvl w:val="2"/>
          <w:numId w:val="14"/>
        </w:numPr>
        <w:tabs>
          <w:tab w:pos="1184" w:val="left" w:leader="none"/>
        </w:tabs>
        <w:spacing w:line="364" w:lineRule="auto" w:before="0" w:after="0"/>
        <w:ind w:left="116" w:right="1120" w:firstLine="432"/>
        <w:jc w:val="left"/>
        <w:rPr>
          <w:sz w:val="20"/>
        </w:rPr>
      </w:pPr>
      <w:r>
        <w:rPr>
          <w:spacing w:val="3"/>
          <w:sz w:val="20"/>
        </w:rPr>
        <w:t>投标人应按投标人须知前附表规定的时间和形式将提出的问题送达招标人， 以便招标</w:t>
      </w:r>
      <w:r>
        <w:rPr>
          <w:spacing w:val="2"/>
          <w:sz w:val="20"/>
        </w:rPr>
        <w:t>人在 会议期间澄清。</w:t>
      </w:r>
    </w:p>
    <w:p>
      <w:pPr>
        <w:pStyle w:val="ListParagraph"/>
        <w:numPr>
          <w:ilvl w:val="2"/>
          <w:numId w:val="14"/>
        </w:numPr>
        <w:tabs>
          <w:tab w:pos="1189" w:val="left" w:leader="none"/>
        </w:tabs>
        <w:spacing w:line="364" w:lineRule="auto" w:before="145" w:after="0"/>
        <w:ind w:left="116" w:right="1125" w:firstLine="429"/>
        <w:jc w:val="left"/>
        <w:rPr>
          <w:sz w:val="20"/>
        </w:rPr>
      </w:pPr>
      <w:r>
        <w:rPr>
          <w:spacing w:val="6"/>
          <w:sz w:val="20"/>
        </w:rPr>
        <w:t>投标预备会后，招标人将对投标人所提问题的澄清，以投标人须知前附表规定的形式</w:t>
      </w:r>
      <w:r>
        <w:rPr>
          <w:spacing w:val="3"/>
          <w:sz w:val="20"/>
        </w:rPr>
        <w:t>通知 所有购买招标文件的投标人。该澄清内容为招标文件的组成部分。</w:t>
      </w:r>
    </w:p>
    <w:p>
      <w:pPr>
        <w:pStyle w:val="Heading7"/>
        <w:numPr>
          <w:ilvl w:val="1"/>
          <w:numId w:val="15"/>
        </w:numPr>
        <w:tabs>
          <w:tab w:pos="1451" w:val="left" w:leader="none"/>
        </w:tabs>
        <w:spacing w:line="240" w:lineRule="auto" w:before="164" w:after="0"/>
        <w:ind w:left="1450" w:right="0" w:hanging="622"/>
        <w:jc w:val="left"/>
      </w:pPr>
      <w:r>
        <w:rPr>
          <w:spacing w:val="-4"/>
        </w:rPr>
        <w:t>分包</w:t>
      </w:r>
    </w:p>
    <w:p>
      <w:pPr>
        <w:pStyle w:val="BodyText"/>
        <w:spacing w:before="9"/>
        <w:rPr>
          <w:rFonts w:ascii="黑体"/>
          <w:sz w:val="29"/>
        </w:rPr>
      </w:pPr>
    </w:p>
    <w:p>
      <w:pPr>
        <w:pStyle w:val="BodyText"/>
        <w:ind w:left="535"/>
      </w:pPr>
      <w:r>
        <w:rPr/>
        <w:t>本项目严禁分包。</w:t>
      </w:r>
    </w:p>
    <w:p>
      <w:pPr>
        <w:pStyle w:val="BodyText"/>
      </w:pPr>
    </w:p>
    <w:p>
      <w:pPr>
        <w:pStyle w:val="Heading7"/>
        <w:numPr>
          <w:ilvl w:val="1"/>
          <w:numId w:val="15"/>
        </w:numPr>
        <w:tabs>
          <w:tab w:pos="1463" w:val="left" w:leader="none"/>
        </w:tabs>
        <w:spacing w:line="240" w:lineRule="auto" w:before="171" w:after="0"/>
        <w:ind w:left="1462" w:right="0" w:hanging="634"/>
        <w:jc w:val="left"/>
      </w:pPr>
      <w:r>
        <w:rPr>
          <w:spacing w:val="-7"/>
        </w:rPr>
        <w:t>响应和偏差</w:t>
      </w:r>
    </w:p>
    <w:p>
      <w:pPr>
        <w:pStyle w:val="BodyText"/>
        <w:spacing w:before="7"/>
        <w:rPr>
          <w:rFonts w:ascii="黑体"/>
          <w:sz w:val="29"/>
        </w:rPr>
      </w:pPr>
    </w:p>
    <w:p>
      <w:pPr>
        <w:pStyle w:val="BodyText"/>
        <w:ind w:left="545"/>
      </w:pPr>
      <w:r>
        <w:rPr>
          <w:rFonts w:ascii="Calibri" w:eastAsia="Calibri"/>
        </w:rPr>
        <w:t>1. 12. 1 </w:t>
      </w:r>
      <w:r>
        <w:rPr/>
        <w:t>投标文件应当对招标文件的实质性要求和条件作出满足性或更有利于招标人的响应</w:t>
      </w:r>
    </w:p>
    <w:p>
      <w:pPr>
        <w:pStyle w:val="BodyText"/>
        <w:spacing w:before="133"/>
        <w:ind w:left="120"/>
      </w:pPr>
      <w:r>
        <w:rPr/>
        <w:t>，否 则，投标人的投标将被否决。实质性要求和条件见投标人须知前附表。</w:t>
      </w:r>
    </w:p>
    <w:p>
      <w:pPr>
        <w:pStyle w:val="BodyText"/>
      </w:pPr>
    </w:p>
    <w:p>
      <w:pPr>
        <w:pStyle w:val="ListParagraph"/>
        <w:numPr>
          <w:ilvl w:val="2"/>
          <w:numId w:val="16"/>
        </w:numPr>
        <w:tabs>
          <w:tab w:pos="1172" w:val="left" w:leader="none"/>
        </w:tabs>
        <w:spacing w:line="240" w:lineRule="auto" w:before="157" w:after="0"/>
        <w:ind w:left="116" w:right="0" w:firstLine="429"/>
        <w:jc w:val="left"/>
        <w:rPr>
          <w:sz w:val="20"/>
        </w:rPr>
      </w:pPr>
      <w:r>
        <w:rPr>
          <w:spacing w:val="5"/>
          <w:sz w:val="20"/>
        </w:rPr>
        <w:t>投标人应根据招标文件的要求提供投标服务方案等内容以对招标文件作出响应。</w:t>
      </w:r>
    </w:p>
    <w:p>
      <w:pPr>
        <w:spacing w:after="0" w:line="240" w:lineRule="auto"/>
        <w:jc w:val="left"/>
        <w:rPr>
          <w:sz w:val="20"/>
        </w:rPr>
        <w:sectPr>
          <w:pgSz w:w="11910" w:h="16840"/>
          <w:pgMar w:header="0" w:footer="690" w:top="1340" w:bottom="960" w:left="1300" w:right="500"/>
        </w:sectPr>
      </w:pPr>
    </w:p>
    <w:p>
      <w:pPr>
        <w:pStyle w:val="ListParagraph"/>
        <w:numPr>
          <w:ilvl w:val="2"/>
          <w:numId w:val="16"/>
        </w:numPr>
        <w:tabs>
          <w:tab w:pos="1189" w:val="left" w:leader="none"/>
        </w:tabs>
        <w:spacing w:line="364" w:lineRule="auto" w:before="60" w:after="0"/>
        <w:ind w:left="116" w:right="1125" w:firstLine="429"/>
        <w:jc w:val="left"/>
        <w:rPr>
          <w:sz w:val="20"/>
        </w:rPr>
      </w:pPr>
      <w:r>
        <w:rPr>
          <w:spacing w:val="6"/>
          <w:sz w:val="20"/>
        </w:rPr>
        <w:t>投标人须知前附表允许投标文件偏离招标文件某些要求的，偏差应当符合招标文件规</w:t>
      </w:r>
      <w:r>
        <w:rPr>
          <w:spacing w:val="3"/>
          <w:sz w:val="20"/>
        </w:rPr>
        <w:t>定的 偏差范围和幅度。</w:t>
      </w:r>
    </w:p>
    <w:p>
      <w:pPr>
        <w:pStyle w:val="BodyText"/>
        <w:spacing w:before="4"/>
        <w:rPr>
          <w:sz w:val="23"/>
        </w:rPr>
      </w:pPr>
    </w:p>
    <w:p>
      <w:pPr>
        <w:pStyle w:val="Heading4"/>
        <w:spacing w:before="1"/>
        <w:ind w:left="759"/>
      </w:pPr>
      <w:r>
        <w:rPr/>
        <w:t>2.招标文件</w:t>
      </w:r>
    </w:p>
    <w:p>
      <w:pPr>
        <w:pStyle w:val="BodyText"/>
        <w:spacing w:before="5"/>
        <w:rPr>
          <w:rFonts w:ascii="黑体"/>
          <w:sz w:val="34"/>
        </w:rPr>
      </w:pPr>
    </w:p>
    <w:p>
      <w:pPr>
        <w:pStyle w:val="Heading7"/>
        <w:numPr>
          <w:ilvl w:val="1"/>
          <w:numId w:val="17"/>
        </w:numPr>
        <w:tabs>
          <w:tab w:pos="1309" w:val="left" w:leader="none"/>
        </w:tabs>
        <w:spacing w:line="240" w:lineRule="auto" w:before="1" w:after="0"/>
        <w:ind w:left="1308" w:right="0" w:hanging="496"/>
        <w:jc w:val="left"/>
      </w:pPr>
      <w:r>
        <w:rPr>
          <w:spacing w:val="-4"/>
        </w:rPr>
        <w:t>招标文件的组成</w:t>
      </w:r>
    </w:p>
    <w:p>
      <w:pPr>
        <w:pStyle w:val="BodyText"/>
        <w:spacing w:before="9"/>
        <w:rPr>
          <w:rFonts w:ascii="黑体"/>
          <w:sz w:val="29"/>
        </w:rPr>
      </w:pPr>
    </w:p>
    <w:p>
      <w:pPr>
        <w:pStyle w:val="BodyText"/>
        <w:ind w:left="535"/>
      </w:pPr>
      <w:r>
        <w:rPr/>
        <w:t>本招标文件包括：</w:t>
      </w:r>
    </w:p>
    <w:p>
      <w:pPr>
        <w:pStyle w:val="BodyText"/>
      </w:pPr>
    </w:p>
    <w:p>
      <w:pPr>
        <w:pStyle w:val="BodyText"/>
        <w:spacing w:before="160"/>
        <w:ind w:left="440"/>
      </w:pPr>
      <w:r>
        <w:rPr/>
        <w:t>（</w:t>
      </w:r>
      <w:r>
        <w:rPr>
          <w:rFonts w:ascii="Calibri" w:eastAsia="Calibri"/>
        </w:rPr>
        <w:t>1</w:t>
      </w:r>
      <w:r>
        <w:rPr/>
        <w:t>）招标公告（或投标邀请书）；</w:t>
      </w:r>
    </w:p>
    <w:p>
      <w:pPr>
        <w:pStyle w:val="BodyText"/>
        <w:spacing w:before="3"/>
        <w:rPr>
          <w:sz w:val="32"/>
        </w:rPr>
      </w:pPr>
    </w:p>
    <w:p>
      <w:pPr>
        <w:pStyle w:val="BodyText"/>
        <w:ind w:left="440"/>
      </w:pPr>
      <w:r>
        <w:rPr/>
        <w:t>（</w:t>
      </w:r>
      <w:r>
        <w:rPr>
          <w:rFonts w:ascii="Calibri" w:eastAsia="Calibri"/>
        </w:rPr>
        <w:t>2</w:t>
      </w:r>
      <w:r>
        <w:rPr/>
        <w:t>）投标人须知；</w:t>
      </w:r>
    </w:p>
    <w:p>
      <w:pPr>
        <w:pStyle w:val="BodyText"/>
        <w:spacing w:before="8"/>
        <w:rPr>
          <w:sz w:val="32"/>
        </w:rPr>
      </w:pPr>
    </w:p>
    <w:p>
      <w:pPr>
        <w:pStyle w:val="BodyText"/>
        <w:ind w:left="440"/>
      </w:pPr>
      <w:r>
        <w:rPr/>
        <w:t>（</w:t>
      </w:r>
      <w:r>
        <w:rPr>
          <w:rFonts w:ascii="Calibri" w:eastAsia="Calibri"/>
        </w:rPr>
        <w:t>3</w:t>
      </w:r>
      <w:r>
        <w:rPr/>
        <w:t>）评标办法；</w:t>
      </w:r>
    </w:p>
    <w:p>
      <w:pPr>
        <w:pStyle w:val="BodyText"/>
        <w:spacing w:before="3"/>
        <w:rPr>
          <w:sz w:val="32"/>
        </w:rPr>
      </w:pPr>
    </w:p>
    <w:p>
      <w:pPr>
        <w:pStyle w:val="BodyText"/>
        <w:spacing w:before="1"/>
        <w:ind w:left="440"/>
      </w:pPr>
      <w:r>
        <w:rPr/>
        <w:t>（</w:t>
      </w:r>
      <w:r>
        <w:rPr>
          <w:rFonts w:ascii="Calibri" w:eastAsia="Calibri"/>
        </w:rPr>
        <w:t>4</w:t>
      </w:r>
      <w:r>
        <w:rPr/>
        <w:t>）合同条款及格式；</w:t>
      </w:r>
    </w:p>
    <w:p>
      <w:pPr>
        <w:pStyle w:val="BodyText"/>
        <w:spacing w:before="3"/>
        <w:rPr>
          <w:sz w:val="32"/>
        </w:rPr>
      </w:pPr>
    </w:p>
    <w:p>
      <w:pPr>
        <w:pStyle w:val="BodyText"/>
        <w:ind w:left="440"/>
      </w:pPr>
      <w:r>
        <w:rPr/>
        <w:t>（</w:t>
      </w:r>
      <w:r>
        <w:rPr>
          <w:rFonts w:ascii="Calibri" w:eastAsia="Calibri"/>
        </w:rPr>
        <w:t>5</w:t>
      </w:r>
      <w:r>
        <w:rPr/>
        <w:t>）委托人要求；</w:t>
      </w:r>
    </w:p>
    <w:p>
      <w:pPr>
        <w:pStyle w:val="BodyText"/>
        <w:spacing w:before="1"/>
        <w:rPr>
          <w:sz w:val="32"/>
        </w:rPr>
      </w:pPr>
    </w:p>
    <w:p>
      <w:pPr>
        <w:pStyle w:val="BodyText"/>
        <w:ind w:left="440"/>
      </w:pPr>
      <w:r>
        <w:rPr/>
        <w:t>（</w:t>
      </w:r>
      <w:r>
        <w:rPr>
          <w:rFonts w:ascii="Calibri" w:eastAsia="Calibri"/>
        </w:rPr>
        <w:t>6</w:t>
      </w:r>
      <w:r>
        <w:rPr/>
        <w:t>）投标文件格式。</w:t>
      </w:r>
    </w:p>
    <w:p>
      <w:pPr>
        <w:pStyle w:val="BodyText"/>
        <w:rPr>
          <w:sz w:val="22"/>
        </w:rPr>
      </w:pPr>
    </w:p>
    <w:p>
      <w:pPr>
        <w:pStyle w:val="Heading7"/>
        <w:numPr>
          <w:ilvl w:val="1"/>
          <w:numId w:val="17"/>
        </w:numPr>
        <w:tabs>
          <w:tab w:pos="1309" w:val="left" w:leader="none"/>
        </w:tabs>
        <w:spacing w:line="240" w:lineRule="auto" w:before="143" w:after="0"/>
        <w:ind w:left="1308" w:right="0" w:hanging="496"/>
        <w:jc w:val="left"/>
      </w:pPr>
      <w:r>
        <w:rPr>
          <w:spacing w:val="-4"/>
        </w:rPr>
        <w:t>招标文件的澄清</w:t>
      </w:r>
    </w:p>
    <w:p>
      <w:pPr>
        <w:pStyle w:val="BodyText"/>
        <w:spacing w:before="12"/>
        <w:rPr>
          <w:rFonts w:ascii="黑体"/>
          <w:sz w:val="29"/>
        </w:rPr>
      </w:pPr>
    </w:p>
    <w:p>
      <w:pPr>
        <w:pStyle w:val="ListParagraph"/>
        <w:numPr>
          <w:ilvl w:val="2"/>
          <w:numId w:val="18"/>
        </w:numPr>
        <w:tabs>
          <w:tab w:pos="1060" w:val="left" w:leader="none"/>
        </w:tabs>
        <w:spacing w:line="364" w:lineRule="auto" w:before="0" w:after="0"/>
        <w:ind w:left="116" w:right="923" w:firstLine="422"/>
        <w:jc w:val="both"/>
        <w:rPr>
          <w:sz w:val="20"/>
        </w:rPr>
      </w:pPr>
      <w:r>
        <w:rPr>
          <w:spacing w:val="11"/>
          <w:sz w:val="20"/>
        </w:rPr>
        <w:t>投标人应仔细阅读和检查招标文件的全部内容。如发现缺页或附件不全，应及时向招标</w:t>
      </w:r>
      <w:r>
        <w:rPr>
          <w:spacing w:val="6"/>
          <w:sz w:val="20"/>
        </w:rPr>
        <w:t>人提 出，以便补齐。如有疑问，应按投标人须知前附表规定的时间和形式将提出的问题送达招标</w:t>
      </w:r>
      <w:r>
        <w:rPr>
          <w:spacing w:val="5"/>
          <w:sz w:val="20"/>
        </w:rPr>
        <w:t>人，要求 招标人对招标文件予以澄清。</w:t>
      </w:r>
    </w:p>
    <w:p>
      <w:pPr>
        <w:pStyle w:val="ListParagraph"/>
        <w:numPr>
          <w:ilvl w:val="2"/>
          <w:numId w:val="18"/>
        </w:numPr>
        <w:tabs>
          <w:tab w:pos="1055" w:val="left" w:leader="none"/>
        </w:tabs>
        <w:spacing w:line="364" w:lineRule="auto" w:before="144" w:after="0"/>
        <w:ind w:left="116" w:right="1017" w:firstLine="424"/>
        <w:jc w:val="left"/>
        <w:rPr>
          <w:sz w:val="20"/>
        </w:rPr>
      </w:pPr>
      <w:r>
        <w:rPr>
          <w:spacing w:val="6"/>
          <w:sz w:val="20"/>
        </w:rPr>
        <w:t>招标文件的澄清以投标人须知前附表规定的形式发给所有购买招标文件的投标人，但不</w:t>
      </w:r>
      <w:r>
        <w:rPr>
          <w:spacing w:val="0"/>
          <w:sz w:val="20"/>
        </w:rPr>
        <w:t>指明 澄清问题的来源。澄清发出的时间距本章第 </w:t>
      </w:r>
      <w:r>
        <w:rPr>
          <w:rFonts w:ascii="Calibri" w:eastAsia="Calibri"/>
          <w:spacing w:val="3"/>
          <w:sz w:val="20"/>
        </w:rPr>
        <w:t>4.2.1</w:t>
      </w:r>
      <w:r>
        <w:rPr>
          <w:rFonts w:ascii="Calibri" w:eastAsia="Calibri"/>
          <w:spacing w:val="37"/>
          <w:sz w:val="20"/>
        </w:rPr>
        <w:t> </w:t>
      </w:r>
      <w:r>
        <w:rPr>
          <w:spacing w:val="2"/>
          <w:sz w:val="20"/>
        </w:rPr>
        <w:t>项规定的投标截止时间不足 </w:t>
      </w:r>
      <w:r>
        <w:rPr>
          <w:rFonts w:ascii="Calibri" w:eastAsia="Calibri"/>
          <w:sz w:val="20"/>
        </w:rPr>
        <w:t>15</w:t>
      </w:r>
      <w:r>
        <w:rPr>
          <w:rFonts w:ascii="Calibri" w:eastAsia="Calibri"/>
          <w:spacing w:val="30"/>
          <w:sz w:val="20"/>
        </w:rPr>
        <w:t> </w:t>
      </w:r>
      <w:r>
        <w:rPr>
          <w:spacing w:val="3"/>
          <w:sz w:val="20"/>
        </w:rPr>
        <w:t>日的，并且</w:t>
      </w:r>
      <w:r>
        <w:rPr>
          <w:spacing w:val="2"/>
          <w:sz w:val="20"/>
        </w:rPr>
        <w:t>澄清内容 可能影响投标文件编制的，将相应延长投标截止时间。</w:t>
      </w:r>
    </w:p>
    <w:p>
      <w:pPr>
        <w:pStyle w:val="ListParagraph"/>
        <w:numPr>
          <w:ilvl w:val="2"/>
          <w:numId w:val="18"/>
        </w:numPr>
        <w:tabs>
          <w:tab w:pos="1055" w:val="left" w:leader="none"/>
        </w:tabs>
        <w:spacing w:line="364" w:lineRule="auto" w:before="147" w:after="0"/>
        <w:ind w:left="116" w:right="1117" w:firstLine="424"/>
        <w:jc w:val="left"/>
        <w:rPr>
          <w:sz w:val="20"/>
        </w:rPr>
      </w:pPr>
      <w:r>
        <w:rPr>
          <w:spacing w:val="6"/>
          <w:sz w:val="20"/>
        </w:rPr>
        <w:t>投标人在收到澄清后，应按投标人须知前附表规定的时间和形式通知招标人，确认已收</w:t>
      </w:r>
      <w:r>
        <w:rPr>
          <w:spacing w:val="1"/>
          <w:sz w:val="20"/>
        </w:rPr>
        <w:t>到该 澄清。</w:t>
      </w:r>
    </w:p>
    <w:p>
      <w:pPr>
        <w:pStyle w:val="BodyText"/>
        <w:spacing w:before="7"/>
        <w:rPr>
          <w:sz w:val="21"/>
        </w:rPr>
      </w:pPr>
    </w:p>
    <w:p>
      <w:pPr>
        <w:pStyle w:val="ListParagraph"/>
        <w:numPr>
          <w:ilvl w:val="2"/>
          <w:numId w:val="18"/>
        </w:numPr>
        <w:tabs>
          <w:tab w:pos="1088" w:val="left" w:leader="none"/>
        </w:tabs>
        <w:spacing w:line="364" w:lineRule="auto" w:before="1" w:after="0"/>
        <w:ind w:left="125" w:right="1125" w:firstLine="413"/>
        <w:jc w:val="left"/>
        <w:rPr>
          <w:sz w:val="20"/>
        </w:rPr>
      </w:pPr>
      <w:r>
        <w:rPr>
          <w:spacing w:val="5"/>
          <w:sz w:val="20"/>
        </w:rPr>
        <w:t>除非招标人认为确有必要答复，否则，招标人有权拒绝回复投标人在本章第 </w:t>
      </w:r>
      <w:r>
        <w:rPr>
          <w:rFonts w:ascii="Calibri" w:eastAsia="Calibri"/>
          <w:spacing w:val="5"/>
          <w:sz w:val="20"/>
        </w:rPr>
        <w:t>2.2.1</w:t>
      </w:r>
      <w:r>
        <w:rPr>
          <w:rFonts w:ascii="Calibri" w:eastAsia="Calibri"/>
          <w:spacing w:val="37"/>
          <w:sz w:val="20"/>
        </w:rPr>
        <w:t> </w:t>
      </w:r>
      <w:r>
        <w:rPr>
          <w:spacing w:val="2"/>
          <w:sz w:val="20"/>
        </w:rPr>
        <w:t>项规定的 时间后的任何澄清要求。</w:t>
      </w:r>
    </w:p>
    <w:p>
      <w:pPr>
        <w:pStyle w:val="BodyText"/>
        <w:spacing w:before="11"/>
        <w:rPr>
          <w:sz w:val="22"/>
        </w:rPr>
      </w:pPr>
    </w:p>
    <w:p>
      <w:pPr>
        <w:pStyle w:val="Heading7"/>
        <w:ind w:left="811"/>
      </w:pPr>
      <w:r>
        <w:rPr/>
        <w:t>2.3 招标文件的修改</w:t>
      </w:r>
    </w:p>
    <w:p>
      <w:pPr>
        <w:pStyle w:val="BodyText"/>
        <w:spacing w:before="9"/>
        <w:rPr>
          <w:rFonts w:ascii="黑体"/>
          <w:sz w:val="29"/>
        </w:rPr>
      </w:pPr>
    </w:p>
    <w:p>
      <w:pPr>
        <w:pStyle w:val="ListParagraph"/>
        <w:numPr>
          <w:ilvl w:val="2"/>
          <w:numId w:val="19"/>
        </w:numPr>
        <w:tabs>
          <w:tab w:pos="1091" w:val="left" w:leader="none"/>
        </w:tabs>
        <w:spacing w:line="240" w:lineRule="auto" w:before="0" w:after="0"/>
        <w:ind w:left="120" w:right="0" w:firstLine="418"/>
        <w:jc w:val="left"/>
        <w:rPr>
          <w:sz w:val="20"/>
        </w:rPr>
      </w:pPr>
      <w:r>
        <w:rPr>
          <w:spacing w:val="11"/>
          <w:sz w:val="20"/>
        </w:rPr>
        <w:t>招标人以投标人须知前附表规定的形式修改招标文件， 并通知所有已购买招标文件的</w:t>
      </w:r>
    </w:p>
    <w:p>
      <w:pPr>
        <w:spacing w:after="0" w:line="240" w:lineRule="auto"/>
        <w:jc w:val="left"/>
        <w:rPr>
          <w:sz w:val="20"/>
        </w:rPr>
        <w:sectPr>
          <w:pgSz w:w="11910" w:h="16840"/>
          <w:pgMar w:header="0" w:footer="690" w:top="1340" w:bottom="960" w:left="1300" w:right="500"/>
        </w:sectPr>
      </w:pPr>
    </w:p>
    <w:p>
      <w:pPr>
        <w:pStyle w:val="BodyText"/>
        <w:spacing w:line="364" w:lineRule="auto" w:before="60"/>
        <w:ind w:left="118" w:right="923"/>
      </w:pPr>
      <w:r>
        <w:rPr/>
        <w:t>投标 人。修改招标文件的时间距本章第 </w:t>
      </w:r>
      <w:r>
        <w:rPr>
          <w:rFonts w:ascii="Calibri" w:eastAsia="Calibri"/>
        </w:rPr>
        <w:t>4.2.1 </w:t>
      </w:r>
      <w:r>
        <w:rPr/>
        <w:t>项规定的投标截止时间不足 </w:t>
      </w:r>
      <w:r>
        <w:rPr>
          <w:rFonts w:ascii="Calibri" w:eastAsia="Calibri"/>
        </w:rPr>
        <w:t>15 </w:t>
      </w:r>
      <w:r>
        <w:rPr/>
        <w:t>日的，并且修改内容可能影响 投标文件编制的，将相应延长投标截止时间。</w:t>
      </w:r>
    </w:p>
    <w:p>
      <w:pPr>
        <w:pStyle w:val="ListParagraph"/>
        <w:numPr>
          <w:ilvl w:val="2"/>
          <w:numId w:val="19"/>
        </w:numPr>
        <w:tabs>
          <w:tab w:pos="1055" w:val="left" w:leader="none"/>
        </w:tabs>
        <w:spacing w:line="364" w:lineRule="auto" w:before="153" w:after="0"/>
        <w:ind w:left="120" w:right="1117" w:firstLine="420"/>
        <w:jc w:val="left"/>
        <w:rPr>
          <w:sz w:val="20"/>
        </w:rPr>
      </w:pPr>
      <w:r>
        <w:rPr>
          <w:spacing w:val="6"/>
          <w:sz w:val="20"/>
        </w:rPr>
        <w:t>投标人收到修改内容后，应按投标人须知前附表规定的时间和形式通知招标人，确认已</w:t>
      </w:r>
      <w:r>
        <w:rPr>
          <w:spacing w:val="2"/>
          <w:sz w:val="20"/>
        </w:rPr>
        <w:t>收到 该修改。</w:t>
      </w:r>
    </w:p>
    <w:p>
      <w:pPr>
        <w:pStyle w:val="Heading7"/>
        <w:spacing w:before="163"/>
        <w:ind w:left="811"/>
      </w:pPr>
      <w:r>
        <w:rPr/>
        <w:t>2.4 招标文件的异议</w:t>
      </w:r>
    </w:p>
    <w:p>
      <w:pPr>
        <w:pStyle w:val="BodyText"/>
        <w:spacing w:before="9"/>
        <w:rPr>
          <w:rFonts w:ascii="黑体"/>
          <w:sz w:val="29"/>
        </w:rPr>
      </w:pPr>
    </w:p>
    <w:p>
      <w:pPr>
        <w:pStyle w:val="BodyText"/>
        <w:spacing w:line="367" w:lineRule="auto" w:before="1"/>
        <w:ind w:left="132" w:right="1141" w:firstLine="405"/>
      </w:pPr>
      <w:r>
        <w:rPr/>
        <w:t>投标人或者其他利害关系人对招标文件有异议的，应当在投标截止时间 </w:t>
      </w:r>
      <w:r>
        <w:rPr>
          <w:rFonts w:ascii="Calibri" w:eastAsia="Calibri"/>
        </w:rPr>
        <w:t>10 </w:t>
      </w:r>
      <w:r>
        <w:rPr/>
        <w:t>日前以书面形式提 出。招标人将在收到异议之日起 </w:t>
      </w:r>
      <w:r>
        <w:rPr>
          <w:rFonts w:ascii="Calibri" w:eastAsia="Calibri"/>
        </w:rPr>
        <w:t>3 </w:t>
      </w:r>
      <w:r>
        <w:rPr/>
        <w:t>日内作出答复；作出答复前，将暂停招标投标活动。</w:t>
      </w:r>
    </w:p>
    <w:p>
      <w:pPr>
        <w:pStyle w:val="Heading4"/>
        <w:spacing w:before="166"/>
        <w:ind w:left="761"/>
      </w:pPr>
      <w:r>
        <w:rPr/>
        <w:t>3.投标文件</w:t>
      </w:r>
    </w:p>
    <w:p>
      <w:pPr>
        <w:pStyle w:val="BodyText"/>
        <w:spacing w:before="4"/>
        <w:rPr>
          <w:rFonts w:ascii="黑体"/>
          <w:sz w:val="34"/>
        </w:rPr>
      </w:pPr>
    </w:p>
    <w:p>
      <w:pPr>
        <w:pStyle w:val="Heading7"/>
        <w:ind w:left="814"/>
      </w:pPr>
      <w:r>
        <w:rPr/>
        <w:t>3.1 投标文件的组成</w:t>
      </w:r>
    </w:p>
    <w:p>
      <w:pPr>
        <w:pStyle w:val="BodyText"/>
        <w:spacing w:before="12"/>
        <w:rPr>
          <w:rFonts w:ascii="黑体"/>
          <w:sz w:val="29"/>
        </w:rPr>
      </w:pPr>
    </w:p>
    <w:p>
      <w:pPr>
        <w:pStyle w:val="ListParagraph"/>
        <w:numPr>
          <w:ilvl w:val="2"/>
          <w:numId w:val="20"/>
        </w:numPr>
        <w:tabs>
          <w:tab w:pos="1036" w:val="left" w:leader="none"/>
        </w:tabs>
        <w:spacing w:line="240" w:lineRule="auto" w:before="0" w:after="0"/>
        <w:ind w:left="118" w:right="0" w:firstLine="420"/>
        <w:jc w:val="left"/>
        <w:rPr>
          <w:sz w:val="20"/>
        </w:rPr>
      </w:pPr>
      <w:r>
        <w:rPr>
          <w:sz w:val="20"/>
        </w:rPr>
        <w:t>投标文件应包括下列内容：</w:t>
      </w:r>
    </w:p>
    <w:p>
      <w:pPr>
        <w:pStyle w:val="BodyText"/>
        <w:rPr>
          <w:sz w:val="22"/>
        </w:rPr>
      </w:pPr>
    </w:p>
    <w:p>
      <w:pPr>
        <w:pStyle w:val="BodyText"/>
        <w:spacing w:before="5"/>
        <w:rPr>
          <w:sz w:val="16"/>
        </w:rPr>
      </w:pPr>
    </w:p>
    <w:p>
      <w:pPr>
        <w:pStyle w:val="BodyText"/>
        <w:spacing w:before="1"/>
        <w:ind w:left="440"/>
      </w:pPr>
      <w:r>
        <w:rPr/>
        <w:t>（</w:t>
      </w:r>
      <w:r>
        <w:rPr>
          <w:rFonts w:ascii="Calibri" w:eastAsia="Calibri"/>
        </w:rPr>
        <w:t>1</w:t>
      </w:r>
      <w:r>
        <w:rPr/>
        <w:t>）投标函及投标函附录；</w:t>
      </w:r>
    </w:p>
    <w:p>
      <w:pPr>
        <w:pStyle w:val="BodyText"/>
        <w:spacing w:before="1"/>
        <w:rPr>
          <w:sz w:val="22"/>
        </w:rPr>
      </w:pPr>
    </w:p>
    <w:p>
      <w:pPr>
        <w:pStyle w:val="BodyText"/>
        <w:ind w:left="440"/>
      </w:pPr>
      <w:r>
        <w:rPr/>
        <w:t>（</w:t>
      </w:r>
      <w:r>
        <w:rPr>
          <w:rFonts w:ascii="Calibri" w:eastAsia="Calibri"/>
        </w:rPr>
        <w:t>2</w:t>
      </w:r>
      <w:r>
        <w:rPr/>
        <w:t>）法定代表人身份证明或授权委托书；</w:t>
      </w:r>
    </w:p>
    <w:p>
      <w:pPr>
        <w:pStyle w:val="BodyText"/>
        <w:spacing w:before="5"/>
        <w:rPr>
          <w:sz w:val="22"/>
        </w:rPr>
      </w:pPr>
    </w:p>
    <w:p>
      <w:pPr>
        <w:pStyle w:val="BodyText"/>
        <w:ind w:left="440"/>
      </w:pPr>
      <w:r>
        <w:rPr/>
        <w:t>（</w:t>
      </w:r>
      <w:r>
        <w:rPr>
          <w:rFonts w:ascii="Calibri" w:eastAsia="Calibri"/>
        </w:rPr>
        <w:t>3</w:t>
      </w:r>
      <w:r>
        <w:rPr/>
        <w:t>）分项报价表；</w:t>
      </w:r>
    </w:p>
    <w:p>
      <w:pPr>
        <w:pStyle w:val="BodyText"/>
        <w:spacing w:before="1"/>
        <w:rPr>
          <w:sz w:val="22"/>
        </w:rPr>
      </w:pPr>
    </w:p>
    <w:p>
      <w:pPr>
        <w:pStyle w:val="BodyText"/>
        <w:spacing w:before="1"/>
        <w:ind w:left="440"/>
      </w:pPr>
      <w:r>
        <w:rPr/>
        <w:t>（</w:t>
      </w:r>
      <w:r>
        <w:rPr>
          <w:rFonts w:ascii="Calibri" w:eastAsia="Calibri"/>
        </w:rPr>
        <w:t>4</w:t>
      </w:r>
      <w:r>
        <w:rPr/>
        <w:t>）采购需求条款偏离表；</w:t>
      </w:r>
    </w:p>
    <w:p>
      <w:pPr>
        <w:pStyle w:val="BodyText"/>
        <w:spacing w:before="4"/>
        <w:rPr>
          <w:sz w:val="22"/>
        </w:rPr>
      </w:pPr>
    </w:p>
    <w:p>
      <w:pPr>
        <w:pStyle w:val="BodyText"/>
        <w:ind w:left="440"/>
      </w:pPr>
      <w:r>
        <w:rPr/>
        <w:t>（</w:t>
      </w:r>
      <w:r>
        <w:rPr>
          <w:rFonts w:ascii="Calibri" w:eastAsia="Calibri"/>
        </w:rPr>
        <w:t>5</w:t>
      </w:r>
      <w:r>
        <w:rPr/>
        <w:t>）资格审查资料；</w:t>
      </w:r>
    </w:p>
    <w:p>
      <w:pPr>
        <w:pStyle w:val="BodyText"/>
        <w:spacing w:before="2"/>
        <w:rPr>
          <w:sz w:val="22"/>
        </w:rPr>
      </w:pPr>
    </w:p>
    <w:p>
      <w:pPr>
        <w:pStyle w:val="BodyText"/>
        <w:ind w:left="440"/>
      </w:pPr>
      <w:r>
        <w:rPr/>
        <w:t>（</w:t>
      </w:r>
      <w:r>
        <w:rPr>
          <w:rFonts w:ascii="Calibri" w:eastAsia="Calibri"/>
        </w:rPr>
        <w:t>6</w:t>
      </w:r>
      <w:r>
        <w:rPr/>
        <w:t>）投标人认为有必要提供的其他资料；</w:t>
      </w:r>
    </w:p>
    <w:p>
      <w:pPr>
        <w:pStyle w:val="BodyText"/>
        <w:spacing w:before="1"/>
        <w:rPr>
          <w:sz w:val="22"/>
        </w:rPr>
      </w:pPr>
    </w:p>
    <w:p>
      <w:pPr>
        <w:pStyle w:val="BodyText"/>
        <w:spacing w:before="1"/>
        <w:ind w:left="535"/>
      </w:pPr>
      <w:r>
        <w:rPr/>
        <w:t>（7）服务方案。</w:t>
      </w:r>
    </w:p>
    <w:p>
      <w:pPr>
        <w:pStyle w:val="BodyText"/>
        <w:spacing w:before="151"/>
        <w:ind w:left="120"/>
      </w:pPr>
      <w:r>
        <w:rPr/>
        <w:t>投标人在评标过程中作出的符合法律法规和招标文件规定的澄清确认，构成投标文件的组成部分</w:t>
      </w:r>
    </w:p>
    <w:p>
      <w:pPr>
        <w:pStyle w:val="BodyText"/>
        <w:spacing w:before="133"/>
        <w:ind w:left="120"/>
      </w:pPr>
      <w:r>
        <w:rPr>
          <w:w w:val="99"/>
        </w:rPr>
        <w:t>。</w:t>
      </w:r>
    </w:p>
    <w:p>
      <w:pPr>
        <w:pStyle w:val="BodyText"/>
      </w:pPr>
    </w:p>
    <w:p>
      <w:pPr>
        <w:pStyle w:val="ListParagraph"/>
        <w:numPr>
          <w:ilvl w:val="2"/>
          <w:numId w:val="20"/>
        </w:numPr>
        <w:tabs>
          <w:tab w:pos="1055" w:val="left" w:leader="none"/>
        </w:tabs>
        <w:spacing w:line="364" w:lineRule="auto" w:before="157" w:after="0"/>
        <w:ind w:left="118" w:right="1117" w:firstLine="420"/>
        <w:jc w:val="left"/>
        <w:rPr>
          <w:sz w:val="20"/>
        </w:rPr>
      </w:pPr>
      <w:r>
        <w:rPr>
          <w:spacing w:val="6"/>
          <w:sz w:val="20"/>
        </w:rPr>
        <w:t>投标人须知前附表规定不接受联合体投标的，或投标人没有组成联合体的，投标文件不</w:t>
      </w:r>
      <w:r>
        <w:rPr>
          <w:spacing w:val="-2"/>
          <w:sz w:val="20"/>
        </w:rPr>
        <w:t>包括 本章第 </w:t>
      </w:r>
      <w:r>
        <w:rPr>
          <w:rFonts w:ascii="Calibri" w:eastAsia="Calibri"/>
          <w:spacing w:val="1"/>
          <w:sz w:val="20"/>
        </w:rPr>
        <w:t>3.1.1</w:t>
      </w:r>
      <w:r>
        <w:rPr>
          <w:spacing w:val="1"/>
          <w:sz w:val="20"/>
        </w:rPr>
        <w:t>（</w:t>
      </w:r>
      <w:r>
        <w:rPr>
          <w:rFonts w:ascii="Calibri" w:eastAsia="Calibri"/>
          <w:spacing w:val="1"/>
          <w:sz w:val="20"/>
        </w:rPr>
        <w:t>3</w:t>
      </w:r>
      <w:r>
        <w:rPr>
          <w:spacing w:val="1"/>
          <w:sz w:val="20"/>
        </w:rPr>
        <w:t>）</w:t>
      </w:r>
      <w:r>
        <w:rPr>
          <w:spacing w:val="-2"/>
          <w:sz w:val="20"/>
        </w:rPr>
        <w:t> 目所指的联合体协议书。</w:t>
      </w:r>
    </w:p>
    <w:p>
      <w:pPr>
        <w:pStyle w:val="BodyText"/>
        <w:spacing w:before="10"/>
        <w:rPr>
          <w:sz w:val="21"/>
        </w:rPr>
      </w:pPr>
    </w:p>
    <w:p>
      <w:pPr>
        <w:pStyle w:val="ListParagraph"/>
        <w:numPr>
          <w:ilvl w:val="2"/>
          <w:numId w:val="20"/>
        </w:numPr>
        <w:tabs>
          <w:tab w:pos="1052" w:val="left" w:leader="none"/>
        </w:tabs>
        <w:spacing w:line="364" w:lineRule="auto" w:before="0" w:after="0"/>
        <w:ind w:left="118" w:right="1115" w:firstLine="420"/>
        <w:jc w:val="left"/>
        <w:rPr>
          <w:sz w:val="20"/>
        </w:rPr>
      </w:pPr>
      <w:r>
        <w:rPr>
          <w:spacing w:val="2"/>
          <w:sz w:val="20"/>
        </w:rPr>
        <w:t>投标人须知前附表未要求提交投标保证金的，投标文件不包括本章第 </w:t>
      </w:r>
      <w:r>
        <w:rPr>
          <w:rFonts w:ascii="Calibri" w:eastAsia="Calibri"/>
          <w:spacing w:val="5"/>
          <w:sz w:val="20"/>
        </w:rPr>
        <w:t>3.1.1</w:t>
      </w:r>
      <w:r>
        <w:rPr>
          <w:spacing w:val="5"/>
          <w:sz w:val="20"/>
        </w:rPr>
        <w:t>（</w:t>
      </w:r>
      <w:r>
        <w:rPr>
          <w:rFonts w:ascii="Calibri" w:eastAsia="Calibri"/>
          <w:spacing w:val="5"/>
          <w:sz w:val="20"/>
        </w:rPr>
        <w:t>4</w:t>
      </w:r>
      <w:r>
        <w:rPr>
          <w:spacing w:val="5"/>
          <w:sz w:val="20"/>
        </w:rPr>
        <w:t>）</w:t>
      </w:r>
      <w:r>
        <w:rPr>
          <w:spacing w:val="-5"/>
          <w:sz w:val="20"/>
        </w:rPr>
        <w:t> 目所指</w:t>
      </w:r>
      <w:r>
        <w:rPr>
          <w:spacing w:val="1"/>
          <w:sz w:val="20"/>
        </w:rPr>
        <w:t>的投 标保证金。</w:t>
      </w:r>
    </w:p>
    <w:p>
      <w:pPr>
        <w:pStyle w:val="BodyText"/>
        <w:spacing w:before="9"/>
        <w:rPr>
          <w:sz w:val="22"/>
        </w:rPr>
      </w:pPr>
    </w:p>
    <w:p>
      <w:pPr>
        <w:pStyle w:val="Heading7"/>
        <w:ind w:left="816"/>
      </w:pPr>
      <w:r>
        <w:rPr/>
        <w:t>3.2 投标报价</w:t>
      </w:r>
    </w:p>
    <w:p>
      <w:pPr>
        <w:pStyle w:val="BodyText"/>
        <w:spacing w:before="10"/>
        <w:rPr>
          <w:rFonts w:ascii="黑体"/>
          <w:sz w:val="29"/>
        </w:rPr>
      </w:pPr>
    </w:p>
    <w:p>
      <w:pPr>
        <w:pStyle w:val="BodyText"/>
        <w:ind w:left="540"/>
      </w:pPr>
      <w:r>
        <w:rPr>
          <w:rFonts w:ascii="Calibri" w:eastAsia="Calibri"/>
        </w:rPr>
        <w:t>3.2. 1 </w:t>
      </w:r>
      <w:r>
        <w:rPr/>
        <w:t>投标报价应包括国家规定的增值税税金，除投标人须知前附表另有规定外，增值税税金</w:t>
      </w:r>
    </w:p>
    <w:p>
      <w:pPr>
        <w:spacing w:after="0"/>
        <w:sectPr>
          <w:pgSz w:w="11910" w:h="16840"/>
          <w:pgMar w:header="0" w:footer="690" w:top="1340" w:bottom="960" w:left="1300" w:right="500"/>
        </w:sectPr>
      </w:pPr>
    </w:p>
    <w:p>
      <w:pPr>
        <w:pStyle w:val="BodyText"/>
        <w:spacing w:line="364" w:lineRule="auto" w:before="60"/>
        <w:ind w:left="115" w:right="937"/>
      </w:pPr>
      <w:r>
        <w:rPr/>
        <w:t>按一 般计税方法计算。投标人应按第六章</w:t>
      </w:r>
      <w:r>
        <w:rPr>
          <w:rFonts w:ascii="Calibri" w:hAnsi="Calibri" w:eastAsia="Calibri"/>
        </w:rPr>
        <w:t>“</w:t>
      </w:r>
      <w:r>
        <w:rPr/>
        <w:t>投标文件格式</w:t>
      </w:r>
      <w:r>
        <w:rPr>
          <w:rFonts w:ascii="Calibri" w:hAnsi="Calibri" w:eastAsia="Calibri"/>
        </w:rPr>
        <w:t>”</w:t>
      </w:r>
      <w:r>
        <w:rPr/>
        <w:t>的要求在投标函中进行报价并填写投标报价单。</w:t>
      </w:r>
    </w:p>
    <w:p>
      <w:pPr>
        <w:pStyle w:val="BodyText"/>
        <w:rPr>
          <w:sz w:val="22"/>
        </w:rPr>
      </w:pPr>
    </w:p>
    <w:p>
      <w:pPr>
        <w:pStyle w:val="ListParagraph"/>
        <w:numPr>
          <w:ilvl w:val="2"/>
          <w:numId w:val="21"/>
        </w:numPr>
        <w:tabs>
          <w:tab w:pos="1057" w:val="left" w:leader="none"/>
        </w:tabs>
        <w:spacing w:line="240" w:lineRule="auto" w:before="0" w:after="0"/>
        <w:ind w:left="120" w:right="0" w:firstLine="420"/>
        <w:jc w:val="left"/>
        <w:rPr>
          <w:sz w:val="20"/>
        </w:rPr>
      </w:pPr>
      <w:r>
        <w:rPr>
          <w:spacing w:val="5"/>
          <w:sz w:val="20"/>
        </w:rPr>
        <w:t>投标人应充分了解该项目的总体情况以及影响投标报价的其他要素。</w:t>
      </w:r>
    </w:p>
    <w:p>
      <w:pPr>
        <w:pStyle w:val="BodyText"/>
        <w:spacing w:before="3"/>
        <w:rPr>
          <w:sz w:val="32"/>
        </w:rPr>
      </w:pPr>
    </w:p>
    <w:p>
      <w:pPr>
        <w:pStyle w:val="ListParagraph"/>
        <w:numPr>
          <w:ilvl w:val="2"/>
          <w:numId w:val="21"/>
        </w:numPr>
        <w:tabs>
          <w:tab w:pos="1052" w:val="left" w:leader="none"/>
        </w:tabs>
        <w:spacing w:line="364" w:lineRule="auto" w:before="1" w:after="0"/>
        <w:ind w:left="120" w:right="971" w:firstLine="418"/>
        <w:jc w:val="left"/>
        <w:rPr>
          <w:sz w:val="20"/>
        </w:rPr>
      </w:pPr>
      <w:r>
        <w:rPr>
          <w:spacing w:val="6"/>
          <w:sz w:val="20"/>
        </w:rPr>
        <w:t>本项目的报价方式见投标人须知前附表。投标人在投标截止时间前修改投标函中的投标</w:t>
      </w:r>
      <w:r>
        <w:rPr>
          <w:spacing w:val="3"/>
          <w:sz w:val="20"/>
        </w:rPr>
        <w:t>报价 总额，应同时修改投标文件</w:t>
      </w:r>
      <w:r>
        <w:rPr>
          <w:rFonts w:ascii="Calibri" w:hAnsi="Calibri" w:eastAsia="Calibri"/>
          <w:spacing w:val="5"/>
          <w:sz w:val="20"/>
        </w:rPr>
        <w:t>“</w:t>
      </w:r>
      <w:r>
        <w:rPr>
          <w:spacing w:val="5"/>
          <w:sz w:val="20"/>
        </w:rPr>
        <w:t>投标报价</w:t>
      </w:r>
      <w:r>
        <w:rPr>
          <w:rFonts w:ascii="Calibri" w:hAnsi="Calibri" w:eastAsia="Calibri"/>
          <w:spacing w:val="5"/>
          <w:sz w:val="20"/>
        </w:rPr>
        <w:t>”</w:t>
      </w:r>
      <w:r>
        <w:rPr>
          <w:spacing w:val="2"/>
          <w:sz w:val="20"/>
        </w:rPr>
        <w:t>中的相应报价。此修改须符合本章第 </w:t>
      </w:r>
      <w:r>
        <w:rPr>
          <w:rFonts w:ascii="Calibri" w:hAnsi="Calibri" w:eastAsia="Calibri"/>
          <w:spacing w:val="2"/>
          <w:sz w:val="20"/>
        </w:rPr>
        <w:t>4.3</w:t>
      </w:r>
      <w:r>
        <w:rPr>
          <w:rFonts w:ascii="Calibri" w:hAnsi="Calibri" w:eastAsia="Calibri"/>
          <w:spacing w:val="30"/>
          <w:sz w:val="20"/>
        </w:rPr>
        <w:t> </w:t>
      </w:r>
      <w:r>
        <w:rPr>
          <w:spacing w:val="3"/>
          <w:sz w:val="20"/>
        </w:rPr>
        <w:t>款的有关要求</w:t>
      </w:r>
    </w:p>
    <w:p>
      <w:pPr>
        <w:pStyle w:val="BodyText"/>
        <w:spacing w:line="255" w:lineRule="exact"/>
        <w:ind w:left="120"/>
      </w:pPr>
      <w:r>
        <w:rPr>
          <w:w w:val="99"/>
        </w:rPr>
        <w:t>。</w:t>
      </w:r>
    </w:p>
    <w:p>
      <w:pPr>
        <w:pStyle w:val="BodyText"/>
      </w:pPr>
    </w:p>
    <w:p>
      <w:pPr>
        <w:pStyle w:val="ListParagraph"/>
        <w:numPr>
          <w:ilvl w:val="2"/>
          <w:numId w:val="21"/>
        </w:numPr>
        <w:tabs>
          <w:tab w:pos="1052" w:val="left" w:leader="none"/>
        </w:tabs>
        <w:spacing w:line="364" w:lineRule="auto" w:before="159" w:after="0"/>
        <w:ind w:left="118" w:right="1120" w:firstLine="420"/>
        <w:jc w:val="left"/>
        <w:rPr>
          <w:sz w:val="20"/>
        </w:rPr>
      </w:pPr>
      <w:r>
        <w:rPr>
          <w:spacing w:val="6"/>
          <w:sz w:val="20"/>
        </w:rPr>
        <w:t>招标人设有最高投标限价的，投标人的投标报价不得超过最高投标限价，最高投标限价</w:t>
      </w:r>
      <w:r>
        <w:rPr>
          <w:spacing w:val="2"/>
          <w:sz w:val="20"/>
        </w:rPr>
        <w:t>在投 标人须知前附表中载明。</w:t>
      </w:r>
    </w:p>
    <w:p>
      <w:pPr>
        <w:pStyle w:val="BodyText"/>
        <w:spacing w:before="10"/>
        <w:rPr>
          <w:sz w:val="21"/>
        </w:rPr>
      </w:pPr>
    </w:p>
    <w:p>
      <w:pPr>
        <w:pStyle w:val="ListParagraph"/>
        <w:numPr>
          <w:ilvl w:val="2"/>
          <w:numId w:val="21"/>
        </w:numPr>
        <w:tabs>
          <w:tab w:pos="1052" w:val="left" w:leader="none"/>
        </w:tabs>
        <w:spacing w:line="240" w:lineRule="auto" w:before="0" w:after="0"/>
        <w:ind w:left="1052" w:right="0" w:hanging="512"/>
        <w:jc w:val="left"/>
        <w:rPr>
          <w:sz w:val="20"/>
        </w:rPr>
      </w:pPr>
      <w:r>
        <w:rPr>
          <w:spacing w:val="5"/>
          <w:sz w:val="20"/>
        </w:rPr>
        <w:t>投标报价的其他要求见投标人须知前附表。</w:t>
      </w:r>
    </w:p>
    <w:p>
      <w:pPr>
        <w:pStyle w:val="BodyText"/>
        <w:rPr>
          <w:sz w:val="22"/>
        </w:rPr>
      </w:pPr>
    </w:p>
    <w:p>
      <w:pPr>
        <w:pStyle w:val="Heading7"/>
        <w:spacing w:before="145"/>
        <w:ind w:left="816"/>
      </w:pPr>
      <w:r>
        <w:rPr/>
        <w:t>3.3 投标有效期</w:t>
      </w:r>
    </w:p>
    <w:p>
      <w:pPr>
        <w:pStyle w:val="BodyText"/>
        <w:rPr>
          <w:rFonts w:ascii="黑体"/>
          <w:sz w:val="30"/>
        </w:rPr>
      </w:pPr>
    </w:p>
    <w:p>
      <w:pPr>
        <w:pStyle w:val="ListParagraph"/>
        <w:numPr>
          <w:ilvl w:val="2"/>
          <w:numId w:val="22"/>
        </w:numPr>
        <w:tabs>
          <w:tab w:pos="1064" w:val="left" w:leader="none"/>
        </w:tabs>
        <w:spacing w:line="240" w:lineRule="auto" w:before="0" w:after="0"/>
        <w:ind w:left="1064" w:right="0" w:hanging="524"/>
        <w:jc w:val="left"/>
        <w:rPr>
          <w:sz w:val="20"/>
        </w:rPr>
      </w:pPr>
      <w:r>
        <w:rPr>
          <w:spacing w:val="1"/>
          <w:sz w:val="20"/>
        </w:rPr>
        <w:t>除投标人须知前附表另有规定外，投标有效期为 </w:t>
      </w:r>
      <w:r>
        <w:rPr>
          <w:rFonts w:ascii="Calibri" w:eastAsia="Calibri"/>
          <w:sz w:val="20"/>
        </w:rPr>
        <w:t>90</w:t>
      </w:r>
      <w:r>
        <w:rPr>
          <w:rFonts w:ascii="Calibri" w:eastAsia="Calibri"/>
          <w:spacing w:val="32"/>
          <w:sz w:val="20"/>
        </w:rPr>
        <w:t> </w:t>
      </w:r>
      <w:r>
        <w:rPr>
          <w:spacing w:val="2"/>
          <w:sz w:val="20"/>
        </w:rPr>
        <w:t>天。</w:t>
      </w:r>
    </w:p>
    <w:p>
      <w:pPr>
        <w:pStyle w:val="BodyText"/>
        <w:spacing w:before="5"/>
        <w:rPr>
          <w:sz w:val="32"/>
        </w:rPr>
      </w:pPr>
    </w:p>
    <w:p>
      <w:pPr>
        <w:pStyle w:val="ListParagraph"/>
        <w:numPr>
          <w:ilvl w:val="2"/>
          <w:numId w:val="22"/>
        </w:numPr>
        <w:tabs>
          <w:tab w:pos="1064" w:val="left" w:leader="none"/>
        </w:tabs>
        <w:spacing w:line="240" w:lineRule="auto" w:before="1" w:after="0"/>
        <w:ind w:left="1064" w:right="0" w:hanging="524"/>
        <w:jc w:val="left"/>
        <w:rPr>
          <w:sz w:val="20"/>
        </w:rPr>
      </w:pPr>
      <w:r>
        <w:rPr>
          <w:spacing w:val="5"/>
          <w:sz w:val="20"/>
        </w:rPr>
        <w:t>在投标有效期内，投标人撤销投标文件的，应承担招标文件和法律规定的责任。</w:t>
      </w:r>
    </w:p>
    <w:p>
      <w:pPr>
        <w:pStyle w:val="BodyText"/>
        <w:spacing w:before="3"/>
        <w:rPr>
          <w:sz w:val="32"/>
        </w:rPr>
      </w:pPr>
    </w:p>
    <w:p>
      <w:pPr>
        <w:pStyle w:val="ListParagraph"/>
        <w:numPr>
          <w:ilvl w:val="1"/>
          <w:numId w:val="23"/>
        </w:numPr>
        <w:tabs>
          <w:tab w:pos="865" w:val="left" w:leader="none"/>
        </w:tabs>
        <w:spacing w:line="364" w:lineRule="auto" w:before="0" w:after="0"/>
        <w:ind w:left="116" w:right="1005" w:firstLine="422"/>
        <w:jc w:val="both"/>
        <w:rPr>
          <w:rFonts w:ascii="Calibri" w:eastAsia="Calibri"/>
          <w:sz w:val="20"/>
        </w:rPr>
      </w:pPr>
      <w:r>
        <w:rPr>
          <w:rFonts w:ascii="Calibri" w:eastAsia="Calibri"/>
          <w:spacing w:val="5"/>
          <w:sz w:val="20"/>
        </w:rPr>
        <w:t>.3</w:t>
      </w:r>
      <w:r>
        <w:rPr>
          <w:rFonts w:ascii="Calibri" w:eastAsia="Calibri"/>
          <w:spacing w:val="15"/>
          <w:sz w:val="20"/>
        </w:rPr>
        <w:t> </w:t>
      </w:r>
      <w:r>
        <w:rPr>
          <w:spacing w:val="11"/>
          <w:sz w:val="20"/>
        </w:rPr>
        <w:t>出现特殊情况需要延长投标有效期的，招标人以书面形式通知所有投标人延长投标有</w:t>
      </w:r>
      <w:r>
        <w:rPr>
          <w:spacing w:val="6"/>
          <w:sz w:val="20"/>
        </w:rPr>
        <w:t>效 期。投标人应予以书面答复，同意延长的，应相应延长其投标保证金的有效期，但不得要求或被允许 修改其投标文件；投标人拒绝延长的，其投标失效，但投标人有权收回其投标保证金及以</w:t>
      </w:r>
      <w:r>
        <w:rPr>
          <w:spacing w:val="5"/>
          <w:sz w:val="20"/>
        </w:rPr>
        <w:t>递交的投标 保证金的银行同期存款利息。</w:t>
      </w:r>
    </w:p>
    <w:p>
      <w:pPr>
        <w:pStyle w:val="BodyText"/>
        <w:spacing w:before="7"/>
        <w:rPr>
          <w:sz w:val="22"/>
        </w:rPr>
      </w:pPr>
    </w:p>
    <w:p>
      <w:pPr>
        <w:pStyle w:val="Heading7"/>
        <w:numPr>
          <w:ilvl w:val="1"/>
          <w:numId w:val="23"/>
        </w:numPr>
        <w:tabs>
          <w:tab w:pos="1312" w:val="left" w:leader="none"/>
        </w:tabs>
        <w:spacing w:line="240" w:lineRule="auto" w:before="0" w:after="0"/>
        <w:ind w:left="1311" w:right="0" w:hanging="495"/>
        <w:jc w:val="left"/>
      </w:pPr>
      <w:r>
        <w:rPr>
          <w:spacing w:val="-4"/>
        </w:rPr>
        <w:t>投标保证金</w:t>
      </w:r>
    </w:p>
    <w:p>
      <w:pPr>
        <w:pStyle w:val="BodyText"/>
        <w:spacing w:before="12"/>
        <w:rPr>
          <w:rFonts w:ascii="黑体"/>
          <w:sz w:val="29"/>
        </w:rPr>
      </w:pPr>
    </w:p>
    <w:p>
      <w:pPr>
        <w:pStyle w:val="ListParagraph"/>
        <w:numPr>
          <w:ilvl w:val="2"/>
          <w:numId w:val="24"/>
        </w:numPr>
        <w:tabs>
          <w:tab w:pos="1088" w:val="left" w:leader="none"/>
        </w:tabs>
        <w:spacing w:line="364" w:lineRule="auto" w:before="0" w:after="0"/>
        <w:ind w:left="116" w:right="1029" w:firstLine="424"/>
        <w:jc w:val="left"/>
        <w:rPr>
          <w:sz w:val="20"/>
        </w:rPr>
      </w:pPr>
      <w:r>
        <w:rPr>
          <w:spacing w:val="7"/>
          <w:sz w:val="20"/>
        </w:rPr>
        <w:t>投标人在递交投标文件的同时，应按投标人须知前附表规定的金额、形式和第六章</w:t>
      </w:r>
      <w:r>
        <w:rPr>
          <w:rFonts w:ascii="Calibri" w:hAnsi="Calibri" w:eastAsia="Calibri"/>
          <w:spacing w:val="10"/>
          <w:sz w:val="20"/>
        </w:rPr>
        <w:t>“</w:t>
      </w:r>
      <w:r>
        <w:rPr>
          <w:sz w:val="20"/>
        </w:rPr>
        <w:t>投</w:t>
      </w:r>
      <w:r>
        <w:rPr>
          <w:spacing w:val="7"/>
          <w:sz w:val="20"/>
        </w:rPr>
        <w:t>标文 件格式</w:t>
      </w:r>
      <w:r>
        <w:rPr>
          <w:rFonts w:ascii="Calibri" w:hAnsi="Calibri" w:eastAsia="Calibri"/>
          <w:spacing w:val="15"/>
          <w:sz w:val="20"/>
        </w:rPr>
        <w:t>”</w:t>
      </w:r>
      <w:r>
        <w:rPr>
          <w:spacing w:val="11"/>
          <w:sz w:val="20"/>
        </w:rPr>
        <w:t>规定的投标保证金格式递交投标保证金，并作为其投标文件的组成部分。境内投标</w:t>
      </w:r>
      <w:r>
        <w:rPr>
          <w:spacing w:val="6"/>
          <w:sz w:val="20"/>
        </w:rPr>
        <w:t>人提交的 投标保证金，应当从其基本账户转出并在投标文件中附上基本账户开户证明。联合体投标的，其投标 保证金可以由牵头人递交，并应符合投标人须知前附表的规定。</w:t>
      </w:r>
    </w:p>
    <w:p>
      <w:pPr>
        <w:pStyle w:val="BodyText"/>
        <w:spacing w:before="9"/>
        <w:rPr>
          <w:sz w:val="21"/>
        </w:rPr>
      </w:pPr>
    </w:p>
    <w:p>
      <w:pPr>
        <w:pStyle w:val="ListParagraph"/>
        <w:numPr>
          <w:ilvl w:val="2"/>
          <w:numId w:val="24"/>
        </w:numPr>
        <w:tabs>
          <w:tab w:pos="1052" w:val="left" w:leader="none"/>
        </w:tabs>
        <w:spacing w:line="240" w:lineRule="auto" w:before="0" w:after="0"/>
        <w:ind w:left="1052" w:right="0" w:hanging="512"/>
        <w:jc w:val="left"/>
        <w:rPr>
          <w:sz w:val="20"/>
        </w:rPr>
      </w:pPr>
      <w:r>
        <w:rPr>
          <w:spacing w:val="0"/>
          <w:sz w:val="20"/>
        </w:rPr>
        <w:t>投标人不按本章第 </w:t>
      </w:r>
      <w:r>
        <w:rPr>
          <w:rFonts w:ascii="Calibri" w:eastAsia="Calibri"/>
          <w:spacing w:val="2"/>
          <w:sz w:val="20"/>
        </w:rPr>
        <w:t>3.4.1</w:t>
      </w:r>
      <w:r>
        <w:rPr>
          <w:rFonts w:ascii="Calibri" w:eastAsia="Calibri"/>
          <w:spacing w:val="35"/>
          <w:sz w:val="20"/>
        </w:rPr>
        <w:t> </w:t>
      </w:r>
      <w:r>
        <w:rPr>
          <w:spacing w:val="5"/>
          <w:sz w:val="20"/>
        </w:rPr>
        <w:t>项要求提交投标保证金的，评标委员会将否决其投标。</w:t>
      </w:r>
    </w:p>
    <w:p>
      <w:pPr>
        <w:pStyle w:val="BodyText"/>
        <w:spacing w:before="12"/>
        <w:rPr>
          <w:sz w:val="21"/>
        </w:rPr>
      </w:pPr>
    </w:p>
    <w:p>
      <w:pPr>
        <w:pStyle w:val="ListParagraph"/>
        <w:numPr>
          <w:ilvl w:val="2"/>
          <w:numId w:val="24"/>
        </w:numPr>
        <w:tabs>
          <w:tab w:pos="1062" w:val="left" w:leader="none"/>
        </w:tabs>
        <w:spacing w:line="364" w:lineRule="auto" w:before="0" w:after="0"/>
        <w:ind w:left="120" w:right="1113" w:firstLine="432"/>
        <w:jc w:val="left"/>
        <w:rPr>
          <w:sz w:val="20"/>
        </w:rPr>
      </w:pPr>
      <w:r>
        <w:rPr>
          <w:spacing w:val="2"/>
          <w:sz w:val="20"/>
        </w:rPr>
        <w:t>招标人最迟将在与中标人签订合同后 </w:t>
      </w:r>
      <w:r>
        <w:rPr>
          <w:rFonts w:ascii="Calibri" w:eastAsia="Calibri"/>
          <w:sz w:val="20"/>
        </w:rPr>
        <w:t>5</w:t>
      </w:r>
      <w:r>
        <w:rPr>
          <w:rFonts w:ascii="Calibri" w:eastAsia="Calibri"/>
          <w:spacing w:val="5"/>
          <w:sz w:val="20"/>
        </w:rPr>
        <w:t> </w:t>
      </w:r>
      <w:r>
        <w:rPr>
          <w:spacing w:val="5"/>
          <w:sz w:val="20"/>
        </w:rPr>
        <w:t>日内，向未中标的投标人和中标人退还投标保证金。投标保证金还应退还银行同期存款利息。</w:t>
      </w:r>
    </w:p>
    <w:p>
      <w:pPr>
        <w:pStyle w:val="BodyText"/>
        <w:spacing w:before="11"/>
        <w:rPr>
          <w:sz w:val="21"/>
        </w:rPr>
      </w:pPr>
    </w:p>
    <w:p>
      <w:pPr>
        <w:pStyle w:val="ListParagraph"/>
        <w:numPr>
          <w:ilvl w:val="2"/>
          <w:numId w:val="24"/>
        </w:numPr>
        <w:tabs>
          <w:tab w:pos="1057" w:val="left" w:leader="none"/>
        </w:tabs>
        <w:spacing w:line="240" w:lineRule="auto" w:before="0" w:after="0"/>
        <w:ind w:left="1056" w:right="0" w:hanging="516"/>
        <w:jc w:val="left"/>
        <w:rPr>
          <w:sz w:val="20"/>
        </w:rPr>
      </w:pPr>
      <w:r>
        <w:rPr>
          <w:spacing w:val="5"/>
          <w:sz w:val="20"/>
        </w:rPr>
        <w:t>有下列情形之一的，投标保证金将不予退还：</w:t>
      </w:r>
    </w:p>
    <w:p>
      <w:pPr>
        <w:pStyle w:val="BodyText"/>
        <w:spacing w:before="3"/>
        <w:rPr>
          <w:sz w:val="32"/>
        </w:rPr>
      </w:pPr>
    </w:p>
    <w:p>
      <w:pPr>
        <w:pStyle w:val="BodyText"/>
        <w:ind w:left="442"/>
      </w:pPr>
      <w:r>
        <w:rPr/>
        <w:t>（</w:t>
      </w:r>
      <w:r>
        <w:rPr>
          <w:rFonts w:ascii="Calibri" w:eastAsia="Calibri"/>
        </w:rPr>
        <w:t>1</w:t>
      </w:r>
      <w:r>
        <w:rPr/>
        <w:t>）投标人在投标有效期内撤销投标文件；</w:t>
      </w:r>
    </w:p>
    <w:p>
      <w:pPr>
        <w:spacing w:after="0"/>
        <w:sectPr>
          <w:pgSz w:w="11910" w:h="16840"/>
          <w:pgMar w:header="0" w:footer="690" w:top="1340" w:bottom="960" w:left="1300" w:right="500"/>
        </w:sectPr>
      </w:pPr>
    </w:p>
    <w:p>
      <w:pPr>
        <w:pStyle w:val="BodyText"/>
        <w:spacing w:line="364" w:lineRule="auto" w:before="60"/>
        <w:ind w:left="132" w:right="1122" w:firstLine="309"/>
      </w:pPr>
      <w:r>
        <w:rPr/>
        <w:t>（</w:t>
      </w:r>
      <w:r>
        <w:rPr>
          <w:rFonts w:ascii="Calibri" w:eastAsia="Calibri"/>
        </w:rPr>
        <w:t>2</w:t>
      </w:r>
      <w:r>
        <w:rPr/>
        <w:t>） 中标人在收到中标通知书后，无正当理由不与招标人订立合同，在签订合同时向招标人提出 附加条件，或者不按照招标文件要求提交履约保证金；</w:t>
      </w:r>
    </w:p>
    <w:p>
      <w:pPr>
        <w:pStyle w:val="BodyText"/>
        <w:spacing w:before="10"/>
        <w:rPr>
          <w:sz w:val="21"/>
        </w:rPr>
      </w:pPr>
    </w:p>
    <w:p>
      <w:pPr>
        <w:pStyle w:val="BodyText"/>
        <w:spacing w:before="1"/>
        <w:ind w:left="442"/>
      </w:pPr>
      <w:r>
        <w:rPr/>
        <w:t>（</w:t>
      </w:r>
      <w:r>
        <w:rPr>
          <w:rFonts w:ascii="Calibri" w:eastAsia="Calibri"/>
        </w:rPr>
        <w:t>3</w:t>
      </w:r>
      <w:r>
        <w:rPr/>
        <w:t>）发生投标人须知前附表规定的其他可以不予退还投标保证金的情形。</w:t>
      </w:r>
    </w:p>
    <w:p>
      <w:pPr>
        <w:pStyle w:val="BodyText"/>
        <w:rPr>
          <w:sz w:val="22"/>
        </w:rPr>
      </w:pPr>
    </w:p>
    <w:p>
      <w:pPr>
        <w:pStyle w:val="Heading7"/>
        <w:spacing w:before="142"/>
        <w:ind w:left="816"/>
      </w:pPr>
      <w:r>
        <w:rPr/>
        <w:t>3.5 资格审查资料（适用于未进行资格预审的）</w:t>
      </w:r>
    </w:p>
    <w:p>
      <w:pPr>
        <w:pStyle w:val="BodyText"/>
        <w:spacing w:before="10"/>
        <w:rPr>
          <w:rFonts w:ascii="黑体"/>
          <w:sz w:val="29"/>
        </w:rPr>
      </w:pPr>
    </w:p>
    <w:p>
      <w:pPr>
        <w:pStyle w:val="BodyText"/>
        <w:ind w:left="324"/>
      </w:pPr>
      <w:r>
        <w:rPr/>
        <w:t>除投标人须知前附表另有规定外，投标人应按下列规定提供资格审查资料， 以证明其满足本章第</w:t>
      </w:r>
    </w:p>
    <w:p>
      <w:pPr>
        <w:pStyle w:val="BodyText"/>
        <w:spacing w:before="1"/>
        <w:rPr>
          <w:sz w:val="23"/>
        </w:rPr>
      </w:pPr>
    </w:p>
    <w:p>
      <w:pPr>
        <w:pStyle w:val="BodyText"/>
        <w:ind w:left="128"/>
      </w:pPr>
      <w:r>
        <w:rPr>
          <w:rFonts w:ascii="Calibri" w:eastAsia="Calibri"/>
        </w:rPr>
        <w:t>1.4 </w:t>
      </w:r>
      <w:r>
        <w:rPr/>
        <w:t>款规定的资质、财务、业绩、信誉等要求。</w:t>
      </w:r>
    </w:p>
    <w:p>
      <w:pPr>
        <w:pStyle w:val="BodyText"/>
        <w:spacing w:before="6"/>
        <w:rPr>
          <w:sz w:val="32"/>
        </w:rPr>
      </w:pPr>
    </w:p>
    <w:p>
      <w:pPr>
        <w:pStyle w:val="BodyText"/>
        <w:spacing w:line="364" w:lineRule="auto"/>
        <w:ind w:left="118" w:right="1019" w:firstLine="420"/>
      </w:pPr>
      <w:r>
        <w:rPr>
          <w:rFonts w:ascii="Calibri" w:hAnsi="Calibri" w:eastAsia="Calibri"/>
        </w:rPr>
        <w:t>3.5. 1“</w:t>
      </w:r>
      <w:r>
        <w:rPr/>
        <w:t>投标人基本情况表</w:t>
      </w:r>
      <w:r>
        <w:rPr>
          <w:rFonts w:ascii="Calibri" w:hAnsi="Calibri" w:eastAsia="Calibri"/>
        </w:rPr>
        <w:t>”</w:t>
      </w:r>
      <w:r>
        <w:rPr/>
        <w:t>应附投标人营业执照。投标人须具有承装（修、试）电力设施许可证书（承修类和承试类四级及以上）投标人须具备有效的安全生产许可证。</w:t>
      </w:r>
    </w:p>
    <w:p>
      <w:pPr>
        <w:pStyle w:val="BodyText"/>
        <w:spacing w:before="10"/>
        <w:rPr>
          <w:sz w:val="21"/>
        </w:rPr>
      </w:pPr>
    </w:p>
    <w:p>
      <w:pPr>
        <w:pStyle w:val="ListParagraph"/>
        <w:numPr>
          <w:ilvl w:val="2"/>
          <w:numId w:val="25"/>
        </w:numPr>
        <w:tabs>
          <w:tab w:pos="1048" w:val="left" w:leader="none"/>
        </w:tabs>
        <w:spacing w:line="364" w:lineRule="auto" w:before="0" w:after="0"/>
        <w:ind w:left="118" w:right="952" w:firstLine="420"/>
        <w:jc w:val="left"/>
        <w:rPr>
          <w:sz w:val="20"/>
        </w:rPr>
      </w:pPr>
      <w:r>
        <w:rPr>
          <w:spacing w:val="5"/>
          <w:sz w:val="20"/>
        </w:rPr>
        <w:t>财务状况：投标人须具备履行合同的良好财务能力。</w:t>
      </w:r>
      <w:r>
        <w:rPr>
          <w:spacing w:val="7"/>
          <w:sz w:val="20"/>
        </w:rPr>
        <w:t>（</w:t>
      </w:r>
      <w:r>
        <w:rPr>
          <w:spacing w:val="5"/>
          <w:sz w:val="20"/>
        </w:rPr>
        <w:t>提供承诺函，并对其真实性承担法</w:t>
      </w:r>
      <w:r>
        <w:rPr>
          <w:spacing w:val="5"/>
          <w:sz w:val="20"/>
        </w:rPr>
        <w:t>律责任</w:t>
      </w:r>
      <w:r>
        <w:rPr>
          <w:sz w:val="20"/>
        </w:rPr>
        <w:t>）</w:t>
      </w:r>
    </w:p>
    <w:p>
      <w:pPr>
        <w:pStyle w:val="BodyText"/>
        <w:spacing w:before="2"/>
        <w:rPr>
          <w:sz w:val="22"/>
        </w:rPr>
      </w:pPr>
    </w:p>
    <w:p>
      <w:pPr>
        <w:pStyle w:val="ListParagraph"/>
        <w:numPr>
          <w:ilvl w:val="2"/>
          <w:numId w:val="25"/>
        </w:numPr>
        <w:tabs>
          <w:tab w:pos="1000" w:val="left" w:leader="none"/>
        </w:tabs>
        <w:spacing w:line="364" w:lineRule="auto" w:before="0" w:after="0"/>
        <w:ind w:left="116" w:right="1039" w:firstLine="424"/>
        <w:jc w:val="left"/>
        <w:rPr>
          <w:sz w:val="20"/>
        </w:rPr>
      </w:pPr>
      <w:r>
        <w:rPr>
          <w:rFonts w:ascii="Calibri" w:hAnsi="Calibri" w:eastAsia="Calibri"/>
          <w:spacing w:val="10"/>
          <w:sz w:val="20"/>
        </w:rPr>
        <w:t>“</w:t>
      </w:r>
      <w:r>
        <w:rPr>
          <w:spacing w:val="10"/>
          <w:sz w:val="20"/>
        </w:rPr>
        <w:t>近年完成的类似项目情况表</w:t>
      </w:r>
      <w:r>
        <w:rPr>
          <w:rFonts w:ascii="Calibri" w:hAnsi="Calibri" w:eastAsia="Calibri"/>
          <w:spacing w:val="10"/>
          <w:sz w:val="20"/>
        </w:rPr>
        <w:t>”</w:t>
      </w:r>
      <w:r>
        <w:rPr>
          <w:spacing w:val="6"/>
          <w:sz w:val="20"/>
        </w:rPr>
        <w:t>应附合同协议书原件扫描件，具体时间要求见投标人须知</w:t>
      </w:r>
      <w:r>
        <w:rPr>
          <w:spacing w:val="5"/>
          <w:sz w:val="20"/>
        </w:rPr>
        <w:t>前附 表，每张表格只填写一个项目，并标明序号，合同协议书为至少附合同首页、关键信息页及</w:t>
      </w:r>
      <w:r>
        <w:rPr>
          <w:spacing w:val="8"/>
          <w:sz w:val="20"/>
        </w:rPr>
        <w:t>双方盖章 页。</w:t>
      </w:r>
      <w:r>
        <w:rPr>
          <w:spacing w:val="5"/>
          <w:sz w:val="20"/>
        </w:rPr>
        <w:t>（</w:t>
      </w:r>
      <w:r>
        <w:rPr>
          <w:spacing w:val="5"/>
          <w:sz w:val="20"/>
        </w:rPr>
        <w:t>如有</w:t>
      </w:r>
      <w:r>
        <w:rPr>
          <w:sz w:val="20"/>
        </w:rPr>
        <w:t>）</w:t>
      </w:r>
    </w:p>
    <w:p>
      <w:pPr>
        <w:pStyle w:val="BodyText"/>
        <w:spacing w:before="10"/>
        <w:rPr>
          <w:sz w:val="21"/>
        </w:rPr>
      </w:pPr>
    </w:p>
    <w:p>
      <w:pPr>
        <w:pStyle w:val="ListParagraph"/>
        <w:numPr>
          <w:ilvl w:val="2"/>
          <w:numId w:val="25"/>
        </w:numPr>
        <w:tabs>
          <w:tab w:pos="1000" w:val="left" w:leader="none"/>
        </w:tabs>
        <w:spacing w:line="364" w:lineRule="auto" w:before="0" w:after="0"/>
        <w:ind w:left="118" w:right="1039" w:firstLine="420"/>
        <w:jc w:val="left"/>
        <w:rPr>
          <w:sz w:val="20"/>
        </w:rPr>
      </w:pPr>
      <w:r>
        <w:rPr>
          <w:rFonts w:ascii="Calibri" w:hAnsi="Calibri" w:eastAsia="Calibri"/>
          <w:spacing w:val="10"/>
          <w:sz w:val="20"/>
        </w:rPr>
        <w:t>“</w:t>
      </w:r>
      <w:r>
        <w:rPr>
          <w:spacing w:val="10"/>
          <w:sz w:val="20"/>
        </w:rPr>
        <w:t>正在执行和新承接的项目情况表</w:t>
      </w:r>
      <w:r>
        <w:rPr>
          <w:rFonts w:ascii="Calibri" w:hAnsi="Calibri" w:eastAsia="Calibri"/>
          <w:spacing w:val="10"/>
          <w:sz w:val="20"/>
        </w:rPr>
        <w:t>”</w:t>
      </w:r>
      <w:r>
        <w:rPr>
          <w:spacing w:val="6"/>
          <w:sz w:val="20"/>
        </w:rPr>
        <w:t>应附合同协议书原件扫描件，具体时间要求见投标人</w:t>
      </w:r>
      <w:r>
        <w:rPr>
          <w:spacing w:val="5"/>
          <w:sz w:val="20"/>
        </w:rPr>
        <w:t>须知 前附表。每张表格只填写一个项目，并标明序号，合同协议书为至少附合同首页、关键信息</w:t>
      </w:r>
      <w:r>
        <w:rPr>
          <w:spacing w:val="6"/>
          <w:sz w:val="20"/>
        </w:rPr>
        <w:t>页及双方 盖章页。</w:t>
      </w:r>
      <w:r>
        <w:rPr>
          <w:spacing w:val="5"/>
          <w:sz w:val="20"/>
        </w:rPr>
        <w:t>（如有</w:t>
      </w:r>
      <w:r>
        <w:rPr>
          <w:sz w:val="20"/>
        </w:rPr>
        <w:t>）</w:t>
      </w:r>
    </w:p>
    <w:p>
      <w:pPr>
        <w:pStyle w:val="BodyText"/>
        <w:spacing w:before="2"/>
        <w:rPr>
          <w:sz w:val="22"/>
        </w:rPr>
      </w:pPr>
    </w:p>
    <w:p>
      <w:pPr>
        <w:pStyle w:val="ListParagraph"/>
        <w:numPr>
          <w:ilvl w:val="2"/>
          <w:numId w:val="25"/>
        </w:numPr>
        <w:tabs>
          <w:tab w:pos="1000" w:val="left" w:leader="none"/>
        </w:tabs>
        <w:spacing w:line="364" w:lineRule="auto" w:before="0" w:after="0"/>
        <w:ind w:left="120" w:right="1125" w:firstLine="418"/>
        <w:jc w:val="left"/>
        <w:rPr>
          <w:sz w:val="20"/>
        </w:rPr>
      </w:pPr>
      <w:r>
        <w:rPr>
          <w:rFonts w:ascii="Calibri" w:hAnsi="Calibri" w:eastAsia="Calibri"/>
          <w:spacing w:val="10"/>
          <w:sz w:val="20"/>
        </w:rPr>
        <w:t>“</w:t>
      </w:r>
      <w:r>
        <w:rPr>
          <w:spacing w:val="10"/>
          <w:sz w:val="20"/>
        </w:rPr>
        <w:t>近年发生的诉讼及仲裁情况</w:t>
      </w:r>
      <w:r>
        <w:rPr>
          <w:rFonts w:ascii="Calibri" w:hAnsi="Calibri" w:eastAsia="Calibri"/>
          <w:spacing w:val="10"/>
          <w:sz w:val="20"/>
        </w:rPr>
        <w:t>”</w:t>
      </w:r>
      <w:r>
        <w:rPr>
          <w:spacing w:val="6"/>
          <w:sz w:val="20"/>
        </w:rPr>
        <w:t>应说明投标人败诉的服务合同的相关情况，并附法院或仲</w:t>
      </w:r>
      <w:r>
        <w:rPr>
          <w:spacing w:val="2"/>
          <w:sz w:val="20"/>
        </w:rPr>
        <w:t>裁机 构作出的判决、裁决等有关法律文书原件扫描件，具体时间要求见投标人须知前附表。</w:t>
      </w:r>
    </w:p>
    <w:p>
      <w:pPr>
        <w:pStyle w:val="BodyText"/>
        <w:spacing w:before="10"/>
        <w:rPr>
          <w:sz w:val="21"/>
        </w:rPr>
      </w:pPr>
    </w:p>
    <w:p>
      <w:pPr>
        <w:pStyle w:val="ListParagraph"/>
        <w:numPr>
          <w:ilvl w:val="2"/>
          <w:numId w:val="25"/>
        </w:numPr>
        <w:tabs>
          <w:tab w:pos="1000" w:val="left" w:leader="none"/>
        </w:tabs>
        <w:spacing w:line="364" w:lineRule="auto" w:before="0" w:after="0"/>
        <w:ind w:left="116" w:right="1026" w:firstLine="422"/>
        <w:jc w:val="left"/>
        <w:rPr>
          <w:sz w:val="20"/>
        </w:rPr>
      </w:pPr>
      <w:r>
        <w:rPr>
          <w:rFonts w:ascii="Calibri" w:hAnsi="Calibri" w:eastAsia="Calibri"/>
          <w:spacing w:val="10"/>
          <w:sz w:val="20"/>
        </w:rPr>
        <w:t>“</w:t>
      </w:r>
      <w:r>
        <w:rPr>
          <w:spacing w:val="10"/>
          <w:sz w:val="20"/>
        </w:rPr>
        <w:t>拟委任的主要人员汇总表</w:t>
      </w:r>
      <w:r>
        <w:rPr>
          <w:rFonts w:ascii="Calibri" w:hAnsi="Calibri" w:eastAsia="Calibri"/>
          <w:spacing w:val="10"/>
          <w:sz w:val="20"/>
        </w:rPr>
        <w:t>”</w:t>
      </w:r>
      <w:r>
        <w:rPr>
          <w:spacing w:val="6"/>
          <w:sz w:val="20"/>
        </w:rPr>
        <w:t>应填报满足本章第 </w:t>
      </w:r>
      <w:r>
        <w:rPr>
          <w:rFonts w:ascii="Calibri" w:hAnsi="Calibri" w:eastAsia="Calibri"/>
          <w:spacing w:val="6"/>
          <w:sz w:val="20"/>
        </w:rPr>
        <w:t>1.4.1</w:t>
      </w:r>
      <w:r>
        <w:rPr>
          <w:rFonts w:ascii="Calibri" w:hAnsi="Calibri" w:eastAsia="Calibri"/>
          <w:spacing w:val="45"/>
          <w:sz w:val="20"/>
        </w:rPr>
        <w:t> </w:t>
      </w:r>
      <w:r>
        <w:rPr>
          <w:spacing w:val="8"/>
          <w:sz w:val="20"/>
        </w:rPr>
        <w:t>项规定的项目负责人和其他主要人</w:t>
      </w:r>
      <w:r>
        <w:rPr>
          <w:spacing w:val="7"/>
          <w:sz w:val="20"/>
        </w:rPr>
        <w:t>员的 相关信息。</w:t>
      </w:r>
      <w:r>
        <w:rPr>
          <w:rFonts w:ascii="Calibri" w:hAnsi="Calibri" w:eastAsia="Calibri"/>
          <w:spacing w:val="10"/>
          <w:sz w:val="20"/>
        </w:rPr>
        <w:t>“</w:t>
      </w:r>
      <w:r>
        <w:rPr>
          <w:spacing w:val="10"/>
          <w:sz w:val="20"/>
        </w:rPr>
        <w:t>主要人员简历表</w:t>
      </w:r>
      <w:r>
        <w:rPr>
          <w:rFonts w:ascii="Calibri" w:hAnsi="Calibri" w:eastAsia="Calibri"/>
          <w:spacing w:val="10"/>
          <w:sz w:val="20"/>
        </w:rPr>
        <w:t>”</w:t>
      </w:r>
      <w:r>
        <w:rPr>
          <w:spacing w:val="8"/>
          <w:sz w:val="20"/>
        </w:rPr>
        <w:t>中项目负责人应附身份证、学历证、相关资格证书，管理过的</w:t>
      </w:r>
      <w:r>
        <w:rPr>
          <w:spacing w:val="7"/>
          <w:sz w:val="20"/>
        </w:rPr>
        <w:t>项目业绩 须附合同协议书原件扫描件；其他主要人员应附身份证、学历证、相关资格证书（</w:t>
      </w:r>
      <w:r>
        <w:rPr>
          <w:spacing w:val="2"/>
          <w:sz w:val="20"/>
        </w:rPr>
        <w:t>如有</w:t>
      </w:r>
    </w:p>
    <w:p>
      <w:pPr>
        <w:pStyle w:val="BodyText"/>
        <w:spacing w:line="254" w:lineRule="exact"/>
        <w:ind w:left="115"/>
      </w:pPr>
      <w:r>
        <w:rPr/>
        <w:t>）。</w:t>
      </w:r>
    </w:p>
    <w:p>
      <w:pPr>
        <w:pStyle w:val="BodyText"/>
      </w:pPr>
    </w:p>
    <w:p>
      <w:pPr>
        <w:pStyle w:val="ListParagraph"/>
        <w:numPr>
          <w:ilvl w:val="2"/>
          <w:numId w:val="25"/>
        </w:numPr>
        <w:tabs>
          <w:tab w:pos="1000" w:val="left" w:leader="none"/>
        </w:tabs>
        <w:spacing w:line="364" w:lineRule="auto" w:before="160" w:after="0"/>
        <w:ind w:left="120" w:right="1127" w:firstLine="418"/>
        <w:jc w:val="left"/>
        <w:rPr>
          <w:sz w:val="20"/>
        </w:rPr>
      </w:pPr>
      <w:r>
        <w:rPr>
          <w:rFonts w:ascii="Calibri" w:hAnsi="Calibri" w:eastAsia="Calibri"/>
          <w:spacing w:val="10"/>
          <w:sz w:val="20"/>
        </w:rPr>
        <w:t>“</w:t>
      </w:r>
      <w:r>
        <w:rPr>
          <w:spacing w:val="10"/>
          <w:sz w:val="20"/>
        </w:rPr>
        <w:t>拟投入本项目的主要试验检测仪器设备表</w:t>
      </w:r>
      <w:r>
        <w:rPr>
          <w:rFonts w:ascii="Calibri" w:hAnsi="Calibri" w:eastAsia="Calibri"/>
          <w:spacing w:val="10"/>
          <w:sz w:val="20"/>
        </w:rPr>
        <w:t>”</w:t>
      </w:r>
      <w:r>
        <w:rPr>
          <w:spacing w:val="6"/>
          <w:sz w:val="20"/>
        </w:rPr>
        <w:t>应填报满足本章第 </w:t>
      </w:r>
      <w:r>
        <w:rPr>
          <w:rFonts w:ascii="Calibri" w:hAnsi="Calibri" w:eastAsia="Calibri"/>
          <w:spacing w:val="6"/>
          <w:sz w:val="20"/>
        </w:rPr>
        <w:t>1.4.1</w:t>
      </w:r>
      <w:r>
        <w:rPr>
          <w:rFonts w:ascii="Calibri" w:hAnsi="Calibri" w:eastAsia="Calibri"/>
          <w:spacing w:val="46"/>
          <w:sz w:val="20"/>
        </w:rPr>
        <w:t> </w:t>
      </w:r>
      <w:r>
        <w:rPr>
          <w:spacing w:val="7"/>
          <w:sz w:val="20"/>
        </w:rPr>
        <w:t>项规定的试验检测</w:t>
      </w:r>
      <w:r>
        <w:rPr>
          <w:spacing w:val="5"/>
          <w:sz w:val="20"/>
        </w:rPr>
        <w:t>仪器 设备</w:t>
      </w:r>
      <w:r>
        <w:rPr>
          <w:spacing w:val="5"/>
          <w:sz w:val="20"/>
        </w:rPr>
        <w:t>（不采用</w:t>
      </w:r>
      <w:r>
        <w:rPr>
          <w:spacing w:val="5"/>
          <w:sz w:val="20"/>
        </w:rPr>
        <w:t>）</w:t>
      </w:r>
      <w:r>
        <w:rPr>
          <w:sz w:val="20"/>
        </w:rPr>
        <w:t>。</w:t>
      </w:r>
    </w:p>
    <w:p>
      <w:pPr>
        <w:pStyle w:val="ListParagraph"/>
        <w:numPr>
          <w:ilvl w:val="2"/>
          <w:numId w:val="25"/>
        </w:numPr>
        <w:tabs>
          <w:tab w:pos="1096" w:val="left" w:leader="none"/>
        </w:tabs>
        <w:spacing w:line="364" w:lineRule="auto" w:before="145" w:after="0"/>
        <w:ind w:left="116" w:right="1108" w:firstLine="441"/>
        <w:jc w:val="left"/>
        <w:rPr>
          <w:sz w:val="20"/>
        </w:rPr>
      </w:pPr>
      <w:r>
        <w:rPr>
          <w:spacing w:val="5"/>
          <w:sz w:val="20"/>
        </w:rPr>
        <w:t>投标人须知前附表规定接受联合体投标的，本章第 </w:t>
      </w:r>
      <w:r>
        <w:rPr>
          <w:rFonts w:ascii="Calibri" w:eastAsia="Calibri"/>
          <w:spacing w:val="5"/>
          <w:sz w:val="20"/>
        </w:rPr>
        <w:t>3.5.1</w:t>
      </w:r>
      <w:r>
        <w:rPr>
          <w:rFonts w:ascii="Calibri" w:eastAsia="Calibri"/>
          <w:spacing w:val="40"/>
          <w:sz w:val="20"/>
        </w:rPr>
        <w:t> </w:t>
      </w:r>
      <w:r>
        <w:rPr>
          <w:spacing w:val="-2"/>
          <w:sz w:val="20"/>
        </w:rPr>
        <w:t>项至第 </w:t>
      </w:r>
      <w:r>
        <w:rPr>
          <w:rFonts w:ascii="Calibri" w:eastAsia="Calibri"/>
          <w:spacing w:val="5"/>
          <w:sz w:val="20"/>
        </w:rPr>
        <w:t>3.5.7</w:t>
      </w:r>
      <w:r>
        <w:rPr>
          <w:rFonts w:ascii="Calibri" w:eastAsia="Calibri"/>
          <w:spacing w:val="40"/>
          <w:sz w:val="20"/>
        </w:rPr>
        <w:t> </w:t>
      </w:r>
      <w:r>
        <w:rPr>
          <w:spacing w:val="5"/>
          <w:sz w:val="20"/>
        </w:rPr>
        <w:t>项规定的表格和资料应包括联合体各方相关情况</w:t>
      </w:r>
      <w:r>
        <w:rPr>
          <w:spacing w:val="7"/>
          <w:sz w:val="20"/>
        </w:rPr>
        <w:t>（</w:t>
      </w:r>
      <w:r>
        <w:rPr>
          <w:spacing w:val="5"/>
          <w:sz w:val="20"/>
        </w:rPr>
        <w:t>不采用）</w:t>
      </w:r>
      <w:r>
        <w:rPr>
          <w:sz w:val="20"/>
        </w:rPr>
        <w:t>。</w:t>
      </w:r>
    </w:p>
    <w:p>
      <w:pPr>
        <w:pStyle w:val="BodyText"/>
        <w:spacing w:before="8"/>
        <w:rPr>
          <w:sz w:val="22"/>
        </w:rPr>
      </w:pPr>
    </w:p>
    <w:p>
      <w:pPr>
        <w:pStyle w:val="Heading7"/>
        <w:ind w:left="814"/>
      </w:pPr>
      <w:r>
        <w:rPr/>
        <w:t>3.6 备选投标方案（不采用）</w:t>
      </w:r>
    </w:p>
    <w:p>
      <w:pPr>
        <w:spacing w:after="0"/>
        <w:sectPr>
          <w:pgSz w:w="11910" w:h="16840"/>
          <w:pgMar w:header="0" w:footer="690" w:top="1340" w:bottom="960" w:left="1300" w:right="500"/>
        </w:sectPr>
      </w:pPr>
    </w:p>
    <w:p>
      <w:pPr>
        <w:pStyle w:val="ListParagraph"/>
        <w:numPr>
          <w:ilvl w:val="2"/>
          <w:numId w:val="26"/>
        </w:numPr>
        <w:tabs>
          <w:tab w:pos="1072" w:val="left" w:leader="none"/>
        </w:tabs>
        <w:spacing w:line="240" w:lineRule="auto" w:before="60" w:after="0"/>
        <w:ind w:left="118" w:right="0" w:firstLine="420"/>
        <w:jc w:val="left"/>
        <w:rPr>
          <w:sz w:val="20"/>
        </w:rPr>
      </w:pPr>
      <w:r>
        <w:rPr>
          <w:spacing w:val="5"/>
          <w:sz w:val="20"/>
        </w:rPr>
        <w:t>除投标人须知前附表规定允许外，投标人不得递交备选投标方案，否则其投标将被否决。</w:t>
      </w:r>
    </w:p>
    <w:p>
      <w:pPr>
        <w:pStyle w:val="BodyText"/>
        <w:spacing w:before="3"/>
        <w:rPr>
          <w:sz w:val="32"/>
        </w:rPr>
      </w:pPr>
    </w:p>
    <w:p>
      <w:pPr>
        <w:pStyle w:val="ListParagraph"/>
        <w:numPr>
          <w:ilvl w:val="2"/>
          <w:numId w:val="26"/>
        </w:numPr>
        <w:tabs>
          <w:tab w:pos="1060" w:val="left" w:leader="none"/>
        </w:tabs>
        <w:spacing w:line="364" w:lineRule="auto" w:before="1" w:after="0"/>
        <w:ind w:left="118" w:right="1041" w:firstLine="420"/>
        <w:jc w:val="left"/>
        <w:rPr>
          <w:sz w:val="20"/>
        </w:rPr>
      </w:pPr>
      <w:r>
        <w:rPr>
          <w:spacing w:val="5"/>
          <w:sz w:val="20"/>
        </w:rPr>
        <w:t>允许投标人递交备选投标方案的，只有中标人所递交的备选投标方案方可予以考虑。评标委 员会认为中标人的备选投标方案优于其按照招标文件要求编制的投标方案的，招标人可以接受该备选 投标方案。</w:t>
      </w:r>
    </w:p>
    <w:p>
      <w:pPr>
        <w:pStyle w:val="BodyText"/>
        <w:spacing w:before="9"/>
        <w:rPr>
          <w:sz w:val="21"/>
        </w:rPr>
      </w:pPr>
    </w:p>
    <w:p>
      <w:pPr>
        <w:pStyle w:val="ListParagraph"/>
        <w:numPr>
          <w:ilvl w:val="2"/>
          <w:numId w:val="26"/>
        </w:numPr>
        <w:tabs>
          <w:tab w:pos="1055" w:val="left" w:leader="none"/>
        </w:tabs>
        <w:spacing w:line="364" w:lineRule="auto" w:before="0" w:after="0"/>
        <w:ind w:left="116" w:right="1117" w:firstLine="422"/>
        <w:jc w:val="left"/>
        <w:rPr>
          <w:sz w:val="20"/>
        </w:rPr>
      </w:pPr>
      <w:r>
        <w:rPr>
          <w:spacing w:val="6"/>
          <w:sz w:val="20"/>
        </w:rPr>
        <w:t>投标人提供两个或两个以上投标报价，或者在投标文件中提供一个报价，但同时提供两</w:t>
      </w:r>
      <w:r>
        <w:rPr>
          <w:spacing w:val="2"/>
          <w:sz w:val="20"/>
        </w:rPr>
        <w:t>个或 两个以上服务方案的，视为提供备选方案。</w:t>
      </w:r>
    </w:p>
    <w:p>
      <w:pPr>
        <w:pStyle w:val="BodyText"/>
        <w:spacing w:before="9"/>
        <w:rPr>
          <w:sz w:val="22"/>
        </w:rPr>
      </w:pPr>
    </w:p>
    <w:p>
      <w:pPr>
        <w:pStyle w:val="Heading7"/>
        <w:ind w:left="814"/>
      </w:pPr>
      <w:r>
        <w:rPr/>
        <w:t>3.7 投标文件的编制</w:t>
      </w:r>
    </w:p>
    <w:p>
      <w:pPr>
        <w:pStyle w:val="BodyText"/>
        <w:spacing w:before="12"/>
        <w:rPr>
          <w:rFonts w:ascii="黑体"/>
          <w:sz w:val="29"/>
        </w:rPr>
      </w:pPr>
    </w:p>
    <w:p>
      <w:pPr>
        <w:pStyle w:val="ListParagraph"/>
        <w:numPr>
          <w:ilvl w:val="2"/>
          <w:numId w:val="27"/>
        </w:numPr>
        <w:tabs>
          <w:tab w:pos="1074" w:val="left" w:leader="none"/>
        </w:tabs>
        <w:spacing w:line="364" w:lineRule="auto" w:before="0" w:after="0"/>
        <w:ind w:left="118" w:right="1039" w:firstLine="420"/>
        <w:jc w:val="left"/>
        <w:rPr>
          <w:sz w:val="20"/>
        </w:rPr>
      </w:pPr>
      <w:r>
        <w:rPr>
          <w:spacing w:val="7"/>
          <w:sz w:val="20"/>
        </w:rPr>
        <w:t>投标文件应按第六章</w:t>
      </w:r>
      <w:r>
        <w:rPr>
          <w:rFonts w:ascii="Calibri" w:hAnsi="Calibri" w:eastAsia="Calibri"/>
          <w:spacing w:val="10"/>
          <w:sz w:val="20"/>
        </w:rPr>
        <w:t>“</w:t>
      </w:r>
      <w:r>
        <w:rPr>
          <w:spacing w:val="7"/>
          <w:sz w:val="20"/>
        </w:rPr>
        <w:t>投标文件格式</w:t>
      </w:r>
      <w:r>
        <w:rPr>
          <w:rFonts w:ascii="Calibri" w:hAnsi="Calibri" w:eastAsia="Calibri"/>
          <w:spacing w:val="10"/>
          <w:sz w:val="20"/>
        </w:rPr>
        <w:t>”</w:t>
      </w:r>
      <w:r>
        <w:rPr>
          <w:spacing w:val="6"/>
          <w:sz w:val="20"/>
        </w:rPr>
        <w:t>进行编写，如有必要，可以增加附页，作为投标文</w:t>
      </w:r>
      <w:r>
        <w:rPr>
          <w:spacing w:val="5"/>
          <w:sz w:val="20"/>
        </w:rPr>
        <w:t>件的 组成部分。其中，投标函附录在满足招标文件实质性要求的基础上，可以提出比招标文件要求更有利 于招标人的承诺。</w:t>
      </w:r>
    </w:p>
    <w:p>
      <w:pPr>
        <w:pStyle w:val="BodyText"/>
        <w:spacing w:before="12"/>
        <w:rPr>
          <w:sz w:val="21"/>
        </w:rPr>
      </w:pPr>
    </w:p>
    <w:p>
      <w:pPr>
        <w:pStyle w:val="ListParagraph"/>
        <w:numPr>
          <w:ilvl w:val="2"/>
          <w:numId w:val="27"/>
        </w:numPr>
        <w:tabs>
          <w:tab w:pos="1055" w:val="left" w:leader="none"/>
        </w:tabs>
        <w:spacing w:line="364" w:lineRule="auto" w:before="0" w:after="0"/>
        <w:ind w:left="116" w:right="1117" w:firstLine="422"/>
        <w:jc w:val="left"/>
        <w:rPr>
          <w:sz w:val="20"/>
        </w:rPr>
      </w:pPr>
      <w:r>
        <w:rPr>
          <w:spacing w:val="6"/>
          <w:sz w:val="20"/>
        </w:rPr>
        <w:t>投标文件应当对招标文件有关服务期限、投标有效期、委托人要求、招标范围等实质性</w:t>
      </w:r>
      <w:r>
        <w:rPr>
          <w:spacing w:val="2"/>
          <w:sz w:val="20"/>
        </w:rPr>
        <w:t>内容 作出响应。</w:t>
      </w:r>
    </w:p>
    <w:p>
      <w:pPr>
        <w:pStyle w:val="BodyText"/>
        <w:spacing w:before="8"/>
        <w:rPr>
          <w:sz w:val="21"/>
        </w:rPr>
      </w:pPr>
    </w:p>
    <w:p>
      <w:pPr>
        <w:pStyle w:val="ListParagraph"/>
        <w:numPr>
          <w:ilvl w:val="2"/>
          <w:numId w:val="27"/>
        </w:numPr>
        <w:tabs>
          <w:tab w:pos="1055" w:val="left" w:leader="none"/>
        </w:tabs>
        <w:spacing w:line="364" w:lineRule="auto" w:before="0" w:after="0"/>
        <w:ind w:left="120" w:right="1024" w:firstLine="418"/>
        <w:jc w:val="left"/>
        <w:rPr>
          <w:sz w:val="20"/>
        </w:rPr>
      </w:pPr>
      <w:r>
        <w:rPr>
          <w:spacing w:val="6"/>
          <w:sz w:val="20"/>
        </w:rPr>
        <w:t>投标文件全部采用电子文档，除投标人须知前附表另有规定外，投标文件所附证书证件</w:t>
      </w:r>
      <w:r>
        <w:rPr>
          <w:spacing w:val="0"/>
          <w:sz w:val="20"/>
        </w:rPr>
        <w:t>均为 原件扫描件，并采用单位和个人数字证书，按招标文件要求在相应位置加盖电子印章。 由投</w:t>
      </w:r>
      <w:r>
        <w:rPr>
          <w:spacing w:val="1"/>
          <w:sz w:val="20"/>
        </w:rPr>
        <w:t>标人的法 定代表人签字或加盖电子印章的，应附法定代表人身份证明， 由代理人签字或加盖电子</w:t>
      </w:r>
      <w:r>
        <w:rPr>
          <w:spacing w:val="5"/>
          <w:sz w:val="20"/>
        </w:rPr>
        <w:t>印章的，应附 由法定代表人签署的授权委托书。签字或盖章的具体要求见投标人须知前附表。</w:t>
      </w:r>
    </w:p>
    <w:p>
      <w:pPr>
        <w:pStyle w:val="BodyText"/>
        <w:spacing w:before="3"/>
        <w:rPr>
          <w:sz w:val="23"/>
        </w:rPr>
      </w:pPr>
    </w:p>
    <w:p>
      <w:pPr>
        <w:pStyle w:val="Heading4"/>
      </w:pPr>
      <w:r>
        <w:rPr/>
        <w:t>4.投标</w:t>
      </w:r>
    </w:p>
    <w:p>
      <w:pPr>
        <w:pStyle w:val="BodyText"/>
        <w:spacing w:before="3"/>
        <w:rPr>
          <w:rFonts w:ascii="黑体"/>
          <w:sz w:val="34"/>
        </w:rPr>
      </w:pPr>
    </w:p>
    <w:p>
      <w:pPr>
        <w:pStyle w:val="Heading7"/>
        <w:spacing w:before="1"/>
        <w:ind w:left="807"/>
      </w:pPr>
      <w:r>
        <w:rPr/>
        <w:t>4.1 投标文件的密封和标记</w:t>
      </w:r>
    </w:p>
    <w:p>
      <w:pPr>
        <w:pStyle w:val="BodyText"/>
        <w:spacing w:before="9"/>
        <w:rPr>
          <w:rFonts w:ascii="黑体"/>
          <w:sz w:val="29"/>
        </w:rPr>
      </w:pPr>
    </w:p>
    <w:p>
      <w:pPr>
        <w:pStyle w:val="ListParagraph"/>
        <w:numPr>
          <w:ilvl w:val="2"/>
          <w:numId w:val="28"/>
        </w:numPr>
        <w:tabs>
          <w:tab w:pos="1052" w:val="left" w:leader="none"/>
        </w:tabs>
        <w:spacing w:line="364" w:lineRule="auto" w:before="0" w:after="0"/>
        <w:ind w:left="120" w:right="1120" w:firstLine="413"/>
        <w:jc w:val="left"/>
        <w:rPr>
          <w:sz w:val="20"/>
        </w:rPr>
      </w:pPr>
      <w:r>
        <w:rPr>
          <w:spacing w:val="6"/>
          <w:sz w:val="20"/>
        </w:rPr>
        <w:t>投标人应当按照招标文件和电子招标投标交易平台的要求加密投标文件，具体要求见投</w:t>
      </w:r>
      <w:r>
        <w:rPr>
          <w:spacing w:val="2"/>
          <w:sz w:val="20"/>
        </w:rPr>
        <w:t>标人 须知前附表。</w:t>
      </w:r>
    </w:p>
    <w:p>
      <w:pPr>
        <w:pStyle w:val="BodyText"/>
        <w:rPr>
          <w:sz w:val="22"/>
        </w:rPr>
      </w:pPr>
    </w:p>
    <w:p>
      <w:pPr>
        <w:pStyle w:val="ListParagraph"/>
        <w:numPr>
          <w:ilvl w:val="2"/>
          <w:numId w:val="28"/>
        </w:numPr>
        <w:tabs>
          <w:tab w:pos="1045" w:val="left" w:leader="none"/>
        </w:tabs>
        <w:spacing w:line="240" w:lineRule="auto" w:before="0" w:after="0"/>
        <w:ind w:left="1044" w:right="0" w:hanging="511"/>
        <w:jc w:val="left"/>
        <w:rPr>
          <w:sz w:val="20"/>
        </w:rPr>
      </w:pPr>
      <w:r>
        <w:rPr>
          <w:spacing w:val="5"/>
          <w:sz w:val="20"/>
        </w:rPr>
        <w:t>投标文件封套上应写明的内容见投标人须知前附表。</w:t>
      </w:r>
    </w:p>
    <w:p>
      <w:pPr>
        <w:pStyle w:val="BodyText"/>
        <w:spacing w:before="3"/>
        <w:rPr>
          <w:sz w:val="32"/>
        </w:rPr>
      </w:pPr>
    </w:p>
    <w:p>
      <w:pPr>
        <w:pStyle w:val="ListParagraph"/>
        <w:numPr>
          <w:ilvl w:val="2"/>
          <w:numId w:val="28"/>
        </w:numPr>
        <w:tabs>
          <w:tab w:pos="1040" w:val="left" w:leader="none"/>
        </w:tabs>
        <w:spacing w:line="240" w:lineRule="auto" w:before="1" w:after="0"/>
        <w:ind w:left="1040" w:right="0" w:hanging="507"/>
        <w:jc w:val="left"/>
        <w:rPr>
          <w:sz w:val="20"/>
        </w:rPr>
      </w:pPr>
      <w:r>
        <w:rPr>
          <w:spacing w:val="-3"/>
          <w:sz w:val="20"/>
        </w:rPr>
        <w:t>未按本章第 </w:t>
      </w:r>
      <w:r>
        <w:rPr>
          <w:rFonts w:ascii="Calibri" w:eastAsia="Calibri"/>
          <w:spacing w:val="3"/>
          <w:sz w:val="20"/>
        </w:rPr>
        <w:t>4.1.1</w:t>
      </w:r>
      <w:r>
        <w:rPr>
          <w:rFonts w:ascii="Calibri" w:eastAsia="Calibri"/>
          <w:spacing w:val="35"/>
          <w:sz w:val="20"/>
        </w:rPr>
        <w:t> </w:t>
      </w:r>
      <w:r>
        <w:rPr>
          <w:spacing w:val="3"/>
          <w:sz w:val="20"/>
        </w:rPr>
        <w:t>项要求密封的投标文件，招标人将予以拒收。</w:t>
      </w:r>
    </w:p>
    <w:p>
      <w:pPr>
        <w:pStyle w:val="BodyText"/>
        <w:rPr>
          <w:sz w:val="22"/>
        </w:rPr>
      </w:pPr>
    </w:p>
    <w:p>
      <w:pPr>
        <w:pStyle w:val="Heading7"/>
        <w:spacing w:before="142"/>
        <w:ind w:left="807"/>
      </w:pPr>
      <w:r>
        <w:rPr/>
        <w:t>4.2 投标文件的递交</w:t>
      </w:r>
    </w:p>
    <w:p>
      <w:pPr>
        <w:pStyle w:val="BodyText"/>
        <w:spacing w:before="12"/>
        <w:rPr>
          <w:rFonts w:ascii="黑体"/>
          <w:sz w:val="29"/>
        </w:rPr>
      </w:pPr>
    </w:p>
    <w:p>
      <w:pPr>
        <w:pStyle w:val="ListParagraph"/>
        <w:numPr>
          <w:ilvl w:val="2"/>
          <w:numId w:val="29"/>
        </w:numPr>
        <w:tabs>
          <w:tab w:pos="1055" w:val="left" w:leader="none"/>
        </w:tabs>
        <w:spacing w:line="240" w:lineRule="auto" w:before="0" w:after="0"/>
        <w:ind w:left="116" w:right="0" w:firstLine="417"/>
        <w:jc w:val="left"/>
        <w:rPr>
          <w:sz w:val="20"/>
        </w:rPr>
      </w:pPr>
      <w:r>
        <w:rPr>
          <w:spacing w:val="5"/>
          <w:sz w:val="20"/>
        </w:rPr>
        <w:t>投标人应在投标人须知前附表规定的投标截止时间前递交投标文件。</w:t>
      </w:r>
    </w:p>
    <w:p>
      <w:pPr>
        <w:pStyle w:val="BodyText"/>
        <w:spacing w:before="10"/>
        <w:rPr>
          <w:sz w:val="21"/>
        </w:rPr>
      </w:pPr>
    </w:p>
    <w:p>
      <w:pPr>
        <w:pStyle w:val="ListParagraph"/>
        <w:numPr>
          <w:ilvl w:val="2"/>
          <w:numId w:val="29"/>
        </w:numPr>
        <w:tabs>
          <w:tab w:pos="1055" w:val="left" w:leader="none"/>
        </w:tabs>
        <w:spacing w:line="240" w:lineRule="auto" w:before="0" w:after="0"/>
        <w:ind w:left="1054" w:right="0" w:hanging="523"/>
        <w:jc w:val="left"/>
        <w:rPr>
          <w:sz w:val="20"/>
        </w:rPr>
      </w:pPr>
      <w:r>
        <w:rPr>
          <w:spacing w:val="5"/>
          <w:sz w:val="20"/>
        </w:rPr>
        <w:t>投标人通过下载招标文件的电子招标投标交易平台递交电子投标文件。</w:t>
      </w:r>
    </w:p>
    <w:p>
      <w:pPr>
        <w:spacing w:after="0" w:line="240" w:lineRule="auto"/>
        <w:jc w:val="left"/>
        <w:rPr>
          <w:sz w:val="20"/>
        </w:rPr>
        <w:sectPr>
          <w:pgSz w:w="11910" w:h="16840"/>
          <w:pgMar w:header="0" w:footer="690" w:top="1340" w:bottom="960" w:left="1300" w:right="500"/>
        </w:sectPr>
      </w:pPr>
    </w:p>
    <w:p>
      <w:pPr>
        <w:pStyle w:val="ListParagraph"/>
        <w:numPr>
          <w:ilvl w:val="2"/>
          <w:numId w:val="29"/>
        </w:numPr>
        <w:tabs>
          <w:tab w:pos="1055" w:val="left" w:leader="none"/>
        </w:tabs>
        <w:spacing w:line="240" w:lineRule="auto" w:before="60" w:after="0"/>
        <w:ind w:left="1054" w:right="0" w:hanging="523"/>
        <w:jc w:val="left"/>
        <w:rPr>
          <w:sz w:val="20"/>
        </w:rPr>
      </w:pPr>
      <w:r>
        <w:rPr>
          <w:spacing w:val="5"/>
          <w:sz w:val="20"/>
        </w:rPr>
        <w:t>除投标人须知前附表另有规定外，投标人所递交的投标文件不予退还。</w:t>
      </w:r>
    </w:p>
    <w:p>
      <w:pPr>
        <w:pStyle w:val="BodyText"/>
        <w:spacing w:before="3"/>
        <w:rPr>
          <w:sz w:val="32"/>
        </w:rPr>
      </w:pPr>
    </w:p>
    <w:p>
      <w:pPr>
        <w:pStyle w:val="ListParagraph"/>
        <w:numPr>
          <w:ilvl w:val="2"/>
          <w:numId w:val="29"/>
        </w:numPr>
        <w:tabs>
          <w:tab w:pos="1057" w:val="left" w:leader="none"/>
        </w:tabs>
        <w:spacing w:line="364" w:lineRule="auto" w:before="1" w:after="0"/>
        <w:ind w:left="116" w:right="1151" w:firstLine="415"/>
        <w:jc w:val="left"/>
        <w:rPr>
          <w:sz w:val="20"/>
        </w:rPr>
      </w:pPr>
      <w:r>
        <w:rPr>
          <w:spacing w:val="5"/>
          <w:sz w:val="20"/>
        </w:rPr>
        <w:t>投标人完成电子投标文件上传后，电子招标投标交易平台即时向投标人发出递交回执通</w:t>
      </w:r>
      <w:r>
        <w:rPr>
          <w:spacing w:val="2"/>
          <w:sz w:val="20"/>
        </w:rPr>
        <w:t>知。 递交时间以递交回执通知载明的传输完成时间为准。</w:t>
      </w:r>
    </w:p>
    <w:p>
      <w:pPr>
        <w:pStyle w:val="BodyText"/>
        <w:spacing w:before="12"/>
        <w:rPr>
          <w:sz w:val="21"/>
        </w:rPr>
      </w:pPr>
    </w:p>
    <w:p>
      <w:pPr>
        <w:pStyle w:val="BodyText"/>
        <w:ind w:left="531"/>
      </w:pPr>
      <w:r>
        <w:rPr>
          <w:rFonts w:ascii="Calibri" w:eastAsia="Calibri"/>
        </w:rPr>
        <w:t>4.2.5</w:t>
      </w:r>
      <w:r>
        <w:rPr/>
        <w:t>（</w:t>
      </w:r>
      <w:r>
        <w:rPr>
          <w:rFonts w:ascii="Calibri" w:eastAsia="Calibri"/>
        </w:rPr>
        <w:t>B</w:t>
      </w:r>
      <w:r>
        <w:rPr/>
        <w:t>）逾期送达的投标文件，电子招标投标交易平台将予以拒收。</w:t>
      </w:r>
    </w:p>
    <w:p>
      <w:pPr>
        <w:pStyle w:val="BodyText"/>
        <w:rPr>
          <w:sz w:val="22"/>
        </w:rPr>
      </w:pPr>
    </w:p>
    <w:p>
      <w:pPr>
        <w:pStyle w:val="Heading7"/>
        <w:spacing w:before="143"/>
        <w:ind w:left="807"/>
      </w:pPr>
      <w:r>
        <w:rPr/>
        <w:t>4.3 投标文件的修改与撤回</w:t>
      </w:r>
    </w:p>
    <w:p>
      <w:pPr>
        <w:pStyle w:val="BodyText"/>
        <w:spacing w:before="12"/>
        <w:rPr>
          <w:rFonts w:ascii="黑体"/>
          <w:sz w:val="29"/>
        </w:rPr>
      </w:pPr>
    </w:p>
    <w:p>
      <w:pPr>
        <w:pStyle w:val="ListParagraph"/>
        <w:numPr>
          <w:ilvl w:val="2"/>
          <w:numId w:val="30"/>
        </w:numPr>
        <w:tabs>
          <w:tab w:pos="1055" w:val="left" w:leader="none"/>
        </w:tabs>
        <w:spacing w:line="364" w:lineRule="auto" w:before="0" w:after="0"/>
        <w:ind w:left="140" w:right="1125" w:firstLine="391"/>
        <w:jc w:val="left"/>
        <w:rPr>
          <w:sz w:val="20"/>
        </w:rPr>
      </w:pPr>
      <w:r>
        <w:rPr>
          <w:spacing w:val="-2"/>
          <w:sz w:val="20"/>
        </w:rPr>
        <w:t>在本章第 </w:t>
      </w:r>
      <w:r>
        <w:rPr>
          <w:rFonts w:ascii="Calibri" w:eastAsia="Calibri"/>
          <w:spacing w:val="5"/>
          <w:sz w:val="20"/>
        </w:rPr>
        <w:t>4.2.1</w:t>
      </w:r>
      <w:r>
        <w:rPr>
          <w:rFonts w:ascii="Calibri" w:eastAsia="Calibri"/>
          <w:spacing w:val="38"/>
          <w:sz w:val="20"/>
        </w:rPr>
        <w:t> </w:t>
      </w:r>
      <w:r>
        <w:rPr>
          <w:spacing w:val="6"/>
          <w:sz w:val="20"/>
        </w:rPr>
        <w:t>项规定的投标截止时间前，投标人可以修改或撤回已递交的投标文件， </w:t>
      </w:r>
      <w:r>
        <w:rPr>
          <w:spacing w:val="2"/>
          <w:sz w:val="20"/>
        </w:rPr>
        <w:t>但应 以书面形式通知招标人。</w:t>
      </w:r>
    </w:p>
    <w:p>
      <w:pPr>
        <w:pStyle w:val="BodyText"/>
        <w:rPr>
          <w:sz w:val="22"/>
        </w:rPr>
      </w:pPr>
    </w:p>
    <w:p>
      <w:pPr>
        <w:pStyle w:val="ListParagraph"/>
        <w:numPr>
          <w:ilvl w:val="2"/>
          <w:numId w:val="30"/>
        </w:numPr>
        <w:tabs>
          <w:tab w:pos="1081" w:val="left" w:leader="none"/>
        </w:tabs>
        <w:spacing w:line="364" w:lineRule="auto" w:before="0" w:after="0"/>
        <w:ind w:left="123" w:right="1134" w:firstLine="408"/>
        <w:jc w:val="left"/>
        <w:rPr>
          <w:sz w:val="20"/>
        </w:rPr>
      </w:pPr>
      <w:r>
        <w:rPr>
          <w:spacing w:val="8"/>
          <w:sz w:val="20"/>
        </w:rPr>
        <w:t>投标人修改或撤回已递交投标文件的通知，应按照本章第 </w:t>
      </w:r>
      <w:r>
        <w:rPr>
          <w:rFonts w:ascii="Calibri" w:eastAsia="Calibri"/>
          <w:spacing w:val="11"/>
          <w:sz w:val="20"/>
        </w:rPr>
        <w:t>3.7.3</w:t>
      </w:r>
      <w:r>
        <w:rPr>
          <w:spacing w:val="11"/>
          <w:sz w:val="20"/>
        </w:rPr>
        <w:t>（</w:t>
      </w:r>
      <w:r>
        <w:rPr>
          <w:rFonts w:ascii="Calibri" w:eastAsia="Calibri"/>
          <w:spacing w:val="11"/>
          <w:sz w:val="20"/>
        </w:rPr>
        <w:t>B</w:t>
      </w:r>
      <w:r>
        <w:rPr>
          <w:spacing w:val="11"/>
          <w:sz w:val="20"/>
        </w:rPr>
        <w:t>）</w:t>
      </w:r>
      <w:r>
        <w:rPr>
          <w:spacing w:val="8"/>
          <w:sz w:val="20"/>
        </w:rPr>
        <w:t>项的要求加盖电</w:t>
      </w:r>
      <w:r>
        <w:rPr>
          <w:spacing w:val="5"/>
          <w:sz w:val="20"/>
        </w:rPr>
        <w:t>子印 章。电子招标投标交易平台收到通知后，即时向投标人发出确认回执通知。</w:t>
      </w:r>
    </w:p>
    <w:p>
      <w:pPr>
        <w:pStyle w:val="BodyText"/>
        <w:spacing w:before="10"/>
        <w:rPr>
          <w:sz w:val="21"/>
        </w:rPr>
      </w:pPr>
    </w:p>
    <w:p>
      <w:pPr>
        <w:pStyle w:val="ListParagraph"/>
        <w:numPr>
          <w:ilvl w:val="2"/>
          <w:numId w:val="30"/>
        </w:numPr>
        <w:tabs>
          <w:tab w:pos="1045" w:val="left" w:leader="none"/>
        </w:tabs>
        <w:spacing w:line="364" w:lineRule="auto" w:before="0" w:after="0"/>
        <w:ind w:left="116" w:right="1115" w:firstLine="415"/>
        <w:jc w:val="left"/>
        <w:rPr>
          <w:sz w:val="20"/>
        </w:rPr>
      </w:pPr>
      <w:r>
        <w:rPr>
          <w:spacing w:val="2"/>
          <w:sz w:val="20"/>
        </w:rPr>
        <w:t>投标人撤回投标文件的，招标人自收到投标人书面撤回通知之日起 </w:t>
      </w:r>
      <w:r>
        <w:rPr>
          <w:rFonts w:ascii="Calibri" w:eastAsia="Calibri"/>
          <w:sz w:val="20"/>
        </w:rPr>
        <w:t>5</w:t>
      </w:r>
      <w:r>
        <w:rPr>
          <w:rFonts w:ascii="Calibri" w:eastAsia="Calibri"/>
          <w:spacing w:val="16"/>
          <w:sz w:val="20"/>
        </w:rPr>
        <w:t> </w:t>
      </w:r>
      <w:r>
        <w:rPr>
          <w:spacing w:val="5"/>
          <w:sz w:val="20"/>
        </w:rPr>
        <w:t>日内退还已收取的</w:t>
      </w:r>
      <w:r>
        <w:rPr>
          <w:spacing w:val="2"/>
          <w:sz w:val="20"/>
        </w:rPr>
        <w:t>投标 保证金。</w:t>
      </w:r>
    </w:p>
    <w:p>
      <w:pPr>
        <w:pStyle w:val="BodyText"/>
        <w:spacing w:before="11"/>
        <w:rPr>
          <w:sz w:val="21"/>
        </w:rPr>
      </w:pPr>
    </w:p>
    <w:p>
      <w:pPr>
        <w:pStyle w:val="ListParagraph"/>
        <w:numPr>
          <w:ilvl w:val="2"/>
          <w:numId w:val="30"/>
        </w:numPr>
        <w:tabs>
          <w:tab w:pos="1045" w:val="left" w:leader="none"/>
        </w:tabs>
        <w:spacing w:line="364" w:lineRule="auto" w:before="0" w:after="0"/>
        <w:ind w:left="116" w:right="1120" w:firstLine="415"/>
        <w:jc w:val="left"/>
        <w:rPr>
          <w:sz w:val="20"/>
        </w:rPr>
      </w:pPr>
      <w:r>
        <w:rPr>
          <w:spacing w:val="2"/>
          <w:sz w:val="20"/>
        </w:rPr>
        <w:t>修改的内容为投标文件的组成部分。修改的投标文件应按照本章第 </w:t>
      </w:r>
      <w:r>
        <w:rPr>
          <w:rFonts w:ascii="Calibri" w:hAnsi="Calibri" w:eastAsia="Calibri"/>
          <w:sz w:val="20"/>
        </w:rPr>
        <w:t>3</w:t>
      </w:r>
      <w:r>
        <w:rPr>
          <w:rFonts w:ascii="Calibri" w:hAnsi="Calibri" w:eastAsia="Calibri"/>
          <w:spacing w:val="15"/>
          <w:sz w:val="20"/>
        </w:rPr>
        <w:t> </w:t>
      </w:r>
      <w:r>
        <w:rPr>
          <w:spacing w:val="-6"/>
          <w:sz w:val="20"/>
        </w:rPr>
        <w:t>条、第 </w:t>
      </w:r>
      <w:r>
        <w:rPr>
          <w:rFonts w:ascii="Calibri" w:hAnsi="Calibri" w:eastAsia="Calibri"/>
          <w:sz w:val="20"/>
        </w:rPr>
        <w:t>4</w:t>
      </w:r>
      <w:r>
        <w:rPr>
          <w:rFonts w:ascii="Calibri" w:hAnsi="Calibri" w:eastAsia="Calibri"/>
          <w:spacing w:val="25"/>
          <w:sz w:val="20"/>
        </w:rPr>
        <w:t> </w:t>
      </w:r>
      <w:r>
        <w:rPr>
          <w:spacing w:val="3"/>
          <w:sz w:val="20"/>
        </w:rPr>
        <w:t>条的规定进行 编制、密封、标记和递交，并标明</w:t>
      </w:r>
      <w:r>
        <w:rPr>
          <w:rFonts w:ascii="Calibri" w:hAnsi="Calibri" w:eastAsia="Calibri"/>
          <w:spacing w:val="5"/>
          <w:sz w:val="20"/>
        </w:rPr>
        <w:t>“</w:t>
      </w:r>
      <w:r>
        <w:rPr>
          <w:spacing w:val="7"/>
          <w:sz w:val="20"/>
        </w:rPr>
        <w:t>修改</w:t>
      </w:r>
      <w:r>
        <w:rPr>
          <w:rFonts w:ascii="Calibri" w:hAnsi="Calibri" w:eastAsia="Calibri"/>
          <w:spacing w:val="5"/>
          <w:sz w:val="20"/>
        </w:rPr>
        <w:t>”</w:t>
      </w:r>
      <w:r>
        <w:rPr>
          <w:spacing w:val="2"/>
          <w:sz w:val="20"/>
        </w:rPr>
        <w:t>字样。</w:t>
      </w:r>
    </w:p>
    <w:p>
      <w:pPr>
        <w:pStyle w:val="BodyText"/>
        <w:spacing w:before="1"/>
        <w:rPr>
          <w:sz w:val="23"/>
        </w:rPr>
      </w:pPr>
    </w:p>
    <w:p>
      <w:pPr>
        <w:pStyle w:val="Heading4"/>
        <w:spacing w:before="1"/>
      </w:pPr>
      <w:r>
        <w:rPr/>
        <w:t>5.开标</w:t>
      </w:r>
    </w:p>
    <w:p>
      <w:pPr>
        <w:pStyle w:val="BodyText"/>
        <w:spacing w:before="1"/>
        <w:rPr>
          <w:rFonts w:ascii="黑体"/>
          <w:sz w:val="34"/>
        </w:rPr>
      </w:pPr>
    </w:p>
    <w:p>
      <w:pPr>
        <w:pStyle w:val="Heading7"/>
        <w:numPr>
          <w:ilvl w:val="1"/>
          <w:numId w:val="31"/>
        </w:numPr>
        <w:tabs>
          <w:tab w:pos="1309" w:val="left" w:leader="none"/>
        </w:tabs>
        <w:spacing w:line="240" w:lineRule="auto" w:before="0" w:after="0"/>
        <w:ind w:left="1308" w:right="0" w:hanging="501"/>
        <w:jc w:val="left"/>
      </w:pPr>
      <w:r>
        <w:rPr>
          <w:spacing w:val="-4"/>
        </w:rPr>
        <w:t>开标时间和地点</w:t>
      </w:r>
    </w:p>
    <w:p>
      <w:pPr>
        <w:pStyle w:val="BodyText"/>
        <w:spacing w:before="7"/>
        <w:rPr>
          <w:rFonts w:ascii="黑体"/>
          <w:sz w:val="29"/>
        </w:rPr>
      </w:pPr>
    </w:p>
    <w:p>
      <w:pPr>
        <w:pStyle w:val="BodyText"/>
        <w:spacing w:line="364" w:lineRule="auto"/>
        <w:ind w:left="115" w:right="1137" w:firstLine="420"/>
      </w:pPr>
      <w:r>
        <w:rPr/>
        <w:t>招标人在本章第 </w:t>
      </w:r>
      <w:r>
        <w:rPr>
          <w:rFonts w:ascii="Calibri" w:eastAsia="Calibri"/>
        </w:rPr>
        <w:t>4.2 . 1 </w:t>
      </w:r>
      <w:r>
        <w:rPr/>
        <w:t>项规定的投标截止时间（开标时间）</w:t>
      </w:r>
      <w:r>
        <w:rPr>
          <w:rFonts w:ascii="Calibri" w:eastAsia="Calibri"/>
        </w:rPr>
        <w:t>,</w:t>
      </w:r>
      <w:r>
        <w:rPr/>
        <w:t>通过电子招标投标交易平台公开开 标，所有投标人的法定代表人或其委托代理人应当准时参加。</w:t>
      </w:r>
    </w:p>
    <w:p>
      <w:pPr>
        <w:pStyle w:val="Heading7"/>
        <w:numPr>
          <w:ilvl w:val="1"/>
          <w:numId w:val="31"/>
        </w:numPr>
        <w:tabs>
          <w:tab w:pos="1307" w:val="left" w:leader="none"/>
        </w:tabs>
        <w:spacing w:line="240" w:lineRule="auto" w:before="164" w:after="0"/>
        <w:ind w:left="1306" w:right="0" w:hanging="499"/>
        <w:jc w:val="left"/>
      </w:pPr>
      <w:r>
        <w:rPr>
          <w:spacing w:val="-4"/>
        </w:rPr>
        <w:t>开标程序</w:t>
      </w:r>
    </w:p>
    <w:p>
      <w:pPr>
        <w:pStyle w:val="BodyText"/>
        <w:spacing w:before="9"/>
        <w:rPr>
          <w:rFonts w:ascii="黑体"/>
          <w:sz w:val="29"/>
        </w:rPr>
      </w:pPr>
    </w:p>
    <w:p>
      <w:pPr>
        <w:pStyle w:val="BodyText"/>
        <w:ind w:left="535"/>
      </w:pPr>
      <w:r>
        <w:rPr/>
        <w:t>主持人按下列程序进行开标：</w:t>
      </w:r>
    </w:p>
    <w:p>
      <w:pPr>
        <w:pStyle w:val="BodyText"/>
      </w:pPr>
    </w:p>
    <w:p>
      <w:pPr>
        <w:pStyle w:val="BodyText"/>
        <w:spacing w:before="157"/>
        <w:ind w:left="440"/>
      </w:pPr>
      <w:r>
        <w:rPr/>
        <w:t>（</w:t>
      </w:r>
      <w:r>
        <w:rPr>
          <w:rFonts w:ascii="Calibri" w:eastAsia="Calibri"/>
        </w:rPr>
        <w:t>1</w:t>
      </w:r>
      <w:r>
        <w:rPr/>
        <w:t>）宣布开标纪律；</w:t>
      </w:r>
    </w:p>
    <w:p>
      <w:pPr>
        <w:pStyle w:val="BodyText"/>
        <w:spacing w:before="6"/>
        <w:rPr>
          <w:sz w:val="32"/>
        </w:rPr>
      </w:pPr>
    </w:p>
    <w:p>
      <w:pPr>
        <w:pStyle w:val="BodyText"/>
        <w:ind w:left="440"/>
      </w:pPr>
      <w:r>
        <w:rPr/>
        <w:t>（</w:t>
      </w:r>
      <w:r>
        <w:rPr>
          <w:rFonts w:ascii="Calibri" w:eastAsia="Calibri"/>
        </w:rPr>
        <w:t>2</w:t>
      </w:r>
      <w:r>
        <w:rPr/>
        <w:t>）公布在投标截止时间前递交投标文件的投标人名称；</w:t>
      </w:r>
    </w:p>
    <w:p>
      <w:pPr>
        <w:pStyle w:val="BodyText"/>
        <w:spacing w:before="6"/>
        <w:rPr>
          <w:sz w:val="32"/>
        </w:rPr>
      </w:pPr>
    </w:p>
    <w:p>
      <w:pPr>
        <w:pStyle w:val="BodyText"/>
        <w:ind w:left="440"/>
      </w:pPr>
      <w:r>
        <w:rPr/>
        <w:t>（</w:t>
      </w:r>
      <w:r>
        <w:rPr>
          <w:rFonts w:ascii="Calibri" w:eastAsia="Calibri"/>
        </w:rPr>
        <w:t>3</w:t>
      </w:r>
      <w:r>
        <w:rPr/>
        <w:t>）宣布开标人、唱标人、记录人、监标人等有关人员姓名；</w:t>
      </w:r>
    </w:p>
    <w:p>
      <w:pPr>
        <w:pStyle w:val="BodyText"/>
        <w:spacing w:before="3"/>
        <w:rPr>
          <w:sz w:val="32"/>
        </w:rPr>
      </w:pPr>
    </w:p>
    <w:p>
      <w:pPr>
        <w:pStyle w:val="BodyText"/>
        <w:spacing w:line="364" w:lineRule="auto"/>
        <w:ind w:left="118" w:right="1163" w:firstLine="321"/>
      </w:pPr>
      <w:r>
        <w:rPr/>
        <w:t>（</w:t>
      </w:r>
      <w:r>
        <w:rPr>
          <w:rFonts w:ascii="Calibri" w:eastAsia="Calibri"/>
        </w:rPr>
        <w:t>4</w:t>
      </w:r>
      <w:r>
        <w:rPr/>
        <w:t>）投标人通过电子招标投标交易平台对已递交的电子投标文件进行解密，公布招标项目名称、 投标人名称、投标保证金的递交情况、投标报价、服务期限及其他内容，并记录在案；</w:t>
      </w:r>
    </w:p>
    <w:p>
      <w:pPr>
        <w:spacing w:after="0" w:line="364" w:lineRule="auto"/>
        <w:sectPr>
          <w:pgSz w:w="11910" w:h="16840"/>
          <w:pgMar w:header="0" w:footer="690" w:top="1340" w:bottom="960" w:left="1300" w:right="500"/>
        </w:sectPr>
      </w:pPr>
    </w:p>
    <w:p>
      <w:pPr>
        <w:pStyle w:val="BodyText"/>
        <w:spacing w:line="364" w:lineRule="auto" w:before="60"/>
        <w:ind w:left="115" w:right="973" w:firstLine="324"/>
      </w:pPr>
      <w:r>
        <w:rPr/>
        <w:t>（</w:t>
      </w:r>
      <w:r>
        <w:rPr>
          <w:rFonts w:ascii="Calibri" w:eastAsia="Calibri"/>
        </w:rPr>
        <w:t>5</w:t>
      </w:r>
      <w:r>
        <w:rPr/>
        <w:t>）投标人代表、招标人代表、监标人、记录人等有关人员使用本人的电子印章在开标记录上签 字确认；</w:t>
      </w:r>
    </w:p>
    <w:p>
      <w:pPr>
        <w:pStyle w:val="BodyText"/>
        <w:spacing w:before="157"/>
        <w:ind w:left="809"/>
      </w:pPr>
      <w:r>
        <w:rPr/>
        <w:t>（</w:t>
      </w:r>
      <w:r>
        <w:rPr>
          <w:rFonts w:ascii="Calibri" w:eastAsia="Calibri"/>
        </w:rPr>
        <w:t>6</w:t>
      </w:r>
      <w:r>
        <w:rPr/>
        <w:t>）开标结束。</w:t>
      </w:r>
    </w:p>
    <w:p>
      <w:pPr>
        <w:pStyle w:val="BodyText"/>
        <w:spacing w:before="11"/>
        <w:rPr>
          <w:sz w:val="22"/>
        </w:rPr>
      </w:pPr>
    </w:p>
    <w:p>
      <w:pPr>
        <w:pStyle w:val="Heading7"/>
        <w:numPr>
          <w:ilvl w:val="1"/>
          <w:numId w:val="31"/>
        </w:numPr>
        <w:tabs>
          <w:tab w:pos="1309" w:val="left" w:leader="none"/>
        </w:tabs>
        <w:spacing w:line="240" w:lineRule="auto" w:before="0" w:after="0"/>
        <w:ind w:left="1308" w:right="0" w:hanging="499"/>
        <w:jc w:val="left"/>
      </w:pPr>
      <w:r>
        <w:rPr>
          <w:spacing w:val="-4"/>
        </w:rPr>
        <w:t>开标异议</w:t>
      </w:r>
    </w:p>
    <w:p>
      <w:pPr>
        <w:pStyle w:val="BodyText"/>
        <w:spacing w:before="9"/>
        <w:rPr>
          <w:rFonts w:ascii="黑体"/>
          <w:sz w:val="29"/>
        </w:rPr>
      </w:pPr>
    </w:p>
    <w:p>
      <w:pPr>
        <w:pStyle w:val="BodyText"/>
        <w:spacing w:before="1"/>
        <w:ind w:left="540"/>
      </w:pPr>
      <w:r>
        <w:rPr/>
        <w:t>投标人对开标有异议的，应当在开标现场提出，招标人当场作出答复，并制作记录。</w:t>
      </w:r>
    </w:p>
    <w:p>
      <w:pPr>
        <w:pStyle w:val="BodyText"/>
      </w:pPr>
    </w:p>
    <w:p>
      <w:pPr>
        <w:pStyle w:val="Heading4"/>
        <w:spacing w:before="174"/>
        <w:ind w:left="761"/>
      </w:pPr>
      <w:r>
        <w:rPr/>
        <w:t>6.评标</w:t>
      </w:r>
    </w:p>
    <w:p>
      <w:pPr>
        <w:pStyle w:val="BodyText"/>
        <w:spacing w:before="3"/>
        <w:rPr>
          <w:rFonts w:ascii="黑体"/>
          <w:sz w:val="34"/>
        </w:rPr>
      </w:pPr>
    </w:p>
    <w:p>
      <w:pPr>
        <w:pStyle w:val="Heading7"/>
        <w:spacing w:before="1"/>
        <w:ind w:left="814"/>
      </w:pPr>
      <w:r>
        <w:rPr/>
        <w:t>6.1 评标委员会</w:t>
      </w:r>
    </w:p>
    <w:p>
      <w:pPr>
        <w:pStyle w:val="BodyText"/>
        <w:spacing w:before="11"/>
        <w:rPr>
          <w:rFonts w:ascii="黑体"/>
          <w:sz w:val="29"/>
        </w:rPr>
      </w:pPr>
    </w:p>
    <w:p>
      <w:pPr>
        <w:pStyle w:val="BodyText"/>
        <w:spacing w:line="364" w:lineRule="auto" w:before="1"/>
        <w:ind w:left="118" w:right="1098" w:firstLine="420"/>
        <w:jc w:val="both"/>
      </w:pPr>
      <w:r>
        <w:rPr>
          <w:rFonts w:ascii="Calibri" w:eastAsia="Calibri"/>
        </w:rPr>
        <w:t>6.1. 1 </w:t>
      </w:r>
      <w:r>
        <w:rPr/>
        <w:t>评标由招标人依法组建的评标委员会负责。评标委员会由招标人，以及有关技术、经济等方 面的专家组成。评标委员会成员人数以及技术、经济等方面专家的确定方式见投标人须知前附表。</w:t>
      </w:r>
    </w:p>
    <w:p>
      <w:pPr>
        <w:pStyle w:val="BodyText"/>
        <w:spacing w:before="11"/>
        <w:rPr>
          <w:sz w:val="21"/>
        </w:rPr>
      </w:pPr>
    </w:p>
    <w:p>
      <w:pPr>
        <w:pStyle w:val="ListParagraph"/>
        <w:numPr>
          <w:ilvl w:val="2"/>
          <w:numId w:val="32"/>
        </w:numPr>
        <w:tabs>
          <w:tab w:pos="1057" w:val="left" w:leader="none"/>
        </w:tabs>
        <w:spacing w:line="240" w:lineRule="auto" w:before="1" w:after="0"/>
        <w:ind w:left="1056" w:right="0" w:hanging="516"/>
        <w:jc w:val="left"/>
        <w:rPr>
          <w:sz w:val="20"/>
        </w:rPr>
      </w:pPr>
      <w:r>
        <w:rPr>
          <w:spacing w:val="5"/>
          <w:sz w:val="20"/>
        </w:rPr>
        <w:t>评标委员会成员有下列情形之一的，应当回避：</w:t>
      </w:r>
    </w:p>
    <w:p>
      <w:pPr>
        <w:pStyle w:val="BodyText"/>
        <w:spacing w:before="5"/>
        <w:rPr>
          <w:sz w:val="32"/>
        </w:rPr>
      </w:pPr>
    </w:p>
    <w:p>
      <w:pPr>
        <w:pStyle w:val="BodyText"/>
        <w:ind w:left="442"/>
      </w:pPr>
      <w:r>
        <w:rPr/>
        <w:t>（</w:t>
      </w:r>
      <w:r>
        <w:rPr>
          <w:rFonts w:ascii="Calibri" w:eastAsia="Calibri"/>
        </w:rPr>
        <w:t>1</w:t>
      </w:r>
      <w:r>
        <w:rPr/>
        <w:t>）投标人或投标人主要负责人的近亲属；</w:t>
      </w:r>
    </w:p>
    <w:p>
      <w:pPr>
        <w:pStyle w:val="BodyText"/>
        <w:spacing w:before="4"/>
        <w:rPr>
          <w:sz w:val="32"/>
        </w:rPr>
      </w:pPr>
    </w:p>
    <w:p>
      <w:pPr>
        <w:pStyle w:val="BodyText"/>
        <w:ind w:left="442"/>
      </w:pPr>
      <w:r>
        <w:rPr/>
        <w:t>（</w:t>
      </w:r>
      <w:r>
        <w:rPr>
          <w:rFonts w:ascii="Calibri" w:eastAsia="Calibri"/>
        </w:rPr>
        <w:t>2</w:t>
      </w:r>
      <w:r>
        <w:rPr/>
        <w:t>）项目主管部门或者行政监督部门的人员；</w:t>
      </w:r>
    </w:p>
    <w:p>
      <w:pPr>
        <w:pStyle w:val="BodyText"/>
        <w:spacing w:before="3"/>
        <w:rPr>
          <w:sz w:val="32"/>
        </w:rPr>
      </w:pPr>
    </w:p>
    <w:p>
      <w:pPr>
        <w:pStyle w:val="BodyText"/>
        <w:ind w:left="442"/>
      </w:pPr>
      <w:r>
        <w:rPr/>
        <w:t>（</w:t>
      </w:r>
      <w:r>
        <w:rPr>
          <w:rFonts w:ascii="Calibri" w:eastAsia="Calibri"/>
        </w:rPr>
        <w:t>3</w:t>
      </w:r>
      <w:r>
        <w:rPr/>
        <w:t>）与投标人有经济利益关系，可能影响对投标公正评审的；</w:t>
      </w:r>
    </w:p>
    <w:p>
      <w:pPr>
        <w:pStyle w:val="BodyText"/>
        <w:spacing w:before="3"/>
        <w:rPr>
          <w:sz w:val="32"/>
        </w:rPr>
      </w:pPr>
    </w:p>
    <w:p>
      <w:pPr>
        <w:pStyle w:val="BodyText"/>
        <w:spacing w:line="364" w:lineRule="auto"/>
        <w:ind w:left="132" w:right="1120" w:firstLine="307"/>
      </w:pPr>
      <w:r>
        <w:rPr/>
        <w:t>（</w:t>
      </w:r>
      <w:r>
        <w:rPr>
          <w:rFonts w:ascii="Calibri" w:eastAsia="Calibri"/>
        </w:rPr>
        <w:t>4</w:t>
      </w:r>
      <w:r>
        <w:rPr/>
        <w:t>） 曾因在招标、评标以及其他与招标投标有关活动中从事违法行为而受过行政处罚或刑事处罚 的；</w:t>
      </w:r>
    </w:p>
    <w:p>
      <w:pPr>
        <w:pStyle w:val="BodyText"/>
        <w:spacing w:before="11"/>
        <w:rPr>
          <w:sz w:val="21"/>
        </w:rPr>
      </w:pPr>
    </w:p>
    <w:p>
      <w:pPr>
        <w:pStyle w:val="BodyText"/>
        <w:ind w:left="442"/>
      </w:pPr>
      <w:r>
        <w:rPr/>
        <w:t>（</w:t>
      </w:r>
      <w:r>
        <w:rPr>
          <w:rFonts w:ascii="Calibri" w:eastAsia="Calibri"/>
        </w:rPr>
        <w:t>5</w:t>
      </w:r>
      <w:r>
        <w:rPr/>
        <w:t>）与投标人有其他利害关系。</w:t>
      </w:r>
    </w:p>
    <w:p>
      <w:pPr>
        <w:pStyle w:val="BodyText"/>
        <w:spacing w:before="1"/>
        <w:rPr>
          <w:sz w:val="32"/>
        </w:rPr>
      </w:pPr>
    </w:p>
    <w:p>
      <w:pPr>
        <w:pStyle w:val="ListParagraph"/>
        <w:numPr>
          <w:ilvl w:val="2"/>
          <w:numId w:val="32"/>
        </w:numPr>
        <w:tabs>
          <w:tab w:pos="1057" w:val="left" w:leader="none"/>
        </w:tabs>
        <w:spacing w:line="240" w:lineRule="auto" w:before="0" w:after="0"/>
        <w:ind w:left="1056" w:right="0" w:hanging="516"/>
        <w:jc w:val="left"/>
        <w:rPr>
          <w:sz w:val="20"/>
        </w:rPr>
      </w:pPr>
      <w:r>
        <w:rPr>
          <w:spacing w:val="11"/>
          <w:sz w:val="20"/>
        </w:rPr>
        <w:t>评标过程中，评标委员会成员有回避事由、擅离职守或者因健康等原因不能继续评标的</w:t>
      </w:r>
    </w:p>
    <w:p>
      <w:pPr>
        <w:pStyle w:val="BodyText"/>
        <w:spacing w:line="367" w:lineRule="auto" w:before="132"/>
        <w:ind w:left="115" w:right="925"/>
      </w:pPr>
      <w:r>
        <w:rPr/>
        <w:t>，招 标人有权更换。被更换的评标委员会成员作出的评审结论无效， 由更换后的评标委员会成员重新进行 评审。</w:t>
      </w:r>
    </w:p>
    <w:p>
      <w:pPr>
        <w:pStyle w:val="Heading7"/>
        <w:numPr>
          <w:ilvl w:val="1"/>
          <w:numId w:val="33"/>
        </w:numPr>
        <w:tabs>
          <w:tab w:pos="1309" w:val="left" w:leader="none"/>
        </w:tabs>
        <w:spacing w:line="240" w:lineRule="auto" w:before="156" w:after="0"/>
        <w:ind w:left="1308" w:right="0" w:hanging="494"/>
        <w:jc w:val="left"/>
      </w:pPr>
      <w:r>
        <w:rPr>
          <w:spacing w:val="-4"/>
        </w:rPr>
        <w:t>评标原则</w:t>
      </w:r>
    </w:p>
    <w:p>
      <w:pPr>
        <w:pStyle w:val="BodyText"/>
        <w:spacing w:before="12"/>
        <w:rPr>
          <w:rFonts w:ascii="黑体"/>
          <w:sz w:val="29"/>
        </w:rPr>
      </w:pPr>
    </w:p>
    <w:p>
      <w:pPr>
        <w:pStyle w:val="BodyText"/>
        <w:ind w:left="535"/>
      </w:pPr>
      <w:r>
        <w:rPr/>
        <w:t>评标活动遵循公平、公正、科学和择优的原则。</w:t>
      </w:r>
    </w:p>
    <w:p>
      <w:pPr>
        <w:pStyle w:val="BodyText"/>
      </w:pPr>
    </w:p>
    <w:p>
      <w:pPr>
        <w:pStyle w:val="Heading7"/>
        <w:numPr>
          <w:ilvl w:val="1"/>
          <w:numId w:val="33"/>
        </w:numPr>
        <w:tabs>
          <w:tab w:pos="1304" w:val="left" w:leader="none"/>
        </w:tabs>
        <w:spacing w:line="240" w:lineRule="auto" w:before="169" w:after="0"/>
        <w:ind w:left="1304" w:right="0" w:hanging="490"/>
        <w:jc w:val="left"/>
      </w:pPr>
      <w:r>
        <w:rPr>
          <w:spacing w:val="-3"/>
        </w:rPr>
        <w:t>评标</w:t>
      </w:r>
    </w:p>
    <w:p>
      <w:pPr>
        <w:spacing w:after="0" w:line="240" w:lineRule="auto"/>
        <w:jc w:val="left"/>
        <w:sectPr>
          <w:footerReference w:type="default" r:id="rId21"/>
          <w:pgSz w:w="11910" w:h="16840"/>
          <w:pgMar w:footer="766" w:header="0" w:top="1340" w:bottom="960" w:left="1300" w:right="500"/>
          <w:pgNumType w:start="20"/>
        </w:sectPr>
      </w:pPr>
    </w:p>
    <w:p>
      <w:pPr>
        <w:pStyle w:val="ListParagraph"/>
        <w:numPr>
          <w:ilvl w:val="2"/>
          <w:numId w:val="34"/>
        </w:numPr>
        <w:tabs>
          <w:tab w:pos="1050" w:val="left" w:leader="none"/>
        </w:tabs>
        <w:spacing w:line="364" w:lineRule="auto" w:before="60" w:after="0"/>
        <w:ind w:left="116" w:right="933" w:firstLine="424"/>
        <w:jc w:val="left"/>
        <w:rPr>
          <w:sz w:val="20"/>
        </w:rPr>
      </w:pPr>
      <w:r>
        <w:rPr>
          <w:spacing w:val="7"/>
          <w:sz w:val="20"/>
        </w:rPr>
        <w:t>评标委员会按照第三章</w:t>
      </w:r>
      <w:r>
        <w:rPr>
          <w:rFonts w:ascii="Calibri" w:hAnsi="Calibri" w:eastAsia="Calibri"/>
          <w:spacing w:val="10"/>
          <w:sz w:val="20"/>
        </w:rPr>
        <w:t>“</w:t>
      </w:r>
      <w:r>
        <w:rPr>
          <w:spacing w:val="7"/>
          <w:sz w:val="20"/>
        </w:rPr>
        <w:t>评标办法及定标办法</w:t>
      </w:r>
      <w:r>
        <w:rPr>
          <w:rFonts w:ascii="Calibri" w:hAnsi="Calibri" w:eastAsia="Calibri"/>
          <w:spacing w:val="10"/>
          <w:sz w:val="20"/>
        </w:rPr>
        <w:t>”</w:t>
      </w:r>
      <w:r>
        <w:rPr>
          <w:spacing w:val="6"/>
          <w:sz w:val="20"/>
        </w:rPr>
        <w:t>规定的方法、评审因素、标准和程序对投 </w:t>
      </w:r>
      <w:r>
        <w:rPr>
          <w:spacing w:val="3"/>
          <w:sz w:val="20"/>
        </w:rPr>
        <w:t>标文 件进行评审。第三章</w:t>
      </w:r>
      <w:r>
        <w:rPr>
          <w:rFonts w:ascii="Calibri" w:hAnsi="Calibri" w:eastAsia="Calibri"/>
          <w:spacing w:val="5"/>
          <w:sz w:val="20"/>
        </w:rPr>
        <w:t>“</w:t>
      </w:r>
      <w:r>
        <w:rPr>
          <w:spacing w:val="7"/>
          <w:sz w:val="20"/>
        </w:rPr>
        <w:t>评标办法及定标办法</w:t>
      </w:r>
      <w:r>
        <w:rPr>
          <w:rFonts w:ascii="Calibri" w:hAnsi="Calibri" w:eastAsia="Calibri"/>
          <w:spacing w:val="10"/>
          <w:sz w:val="20"/>
        </w:rPr>
        <w:t>”</w:t>
      </w:r>
      <w:r>
        <w:rPr>
          <w:spacing w:val="6"/>
          <w:sz w:val="20"/>
        </w:rPr>
        <w:t>没有规定的方法、评审因素和标准，不作为评标依</w:t>
      </w:r>
      <w:r>
        <w:rPr>
          <w:spacing w:val="2"/>
          <w:sz w:val="20"/>
        </w:rPr>
        <w:t>据。</w:t>
      </w:r>
    </w:p>
    <w:p>
      <w:pPr>
        <w:pStyle w:val="BodyText"/>
        <w:spacing w:before="10"/>
        <w:rPr>
          <w:sz w:val="21"/>
        </w:rPr>
      </w:pPr>
    </w:p>
    <w:p>
      <w:pPr>
        <w:pStyle w:val="ListParagraph"/>
        <w:numPr>
          <w:ilvl w:val="2"/>
          <w:numId w:val="34"/>
        </w:numPr>
        <w:tabs>
          <w:tab w:pos="1052" w:val="left" w:leader="none"/>
        </w:tabs>
        <w:spacing w:line="367" w:lineRule="auto" w:before="0" w:after="0"/>
        <w:ind w:left="118" w:right="1120" w:firstLine="420"/>
        <w:jc w:val="left"/>
        <w:rPr>
          <w:sz w:val="20"/>
        </w:rPr>
      </w:pPr>
      <w:r>
        <w:rPr>
          <w:spacing w:val="6"/>
          <w:sz w:val="20"/>
        </w:rPr>
        <w:t>评标完成后，评标委员会应当向招标人提交书面评标报告和中标候选人名单。评标委员</w:t>
      </w:r>
      <w:r>
        <w:rPr>
          <w:spacing w:val="2"/>
          <w:sz w:val="20"/>
        </w:rPr>
        <w:t>会推 荐中标候选人的人数见投标人须知前附表。</w:t>
      </w:r>
    </w:p>
    <w:p>
      <w:pPr>
        <w:pStyle w:val="BodyText"/>
        <w:spacing w:before="12"/>
        <w:rPr>
          <w:sz w:val="22"/>
        </w:rPr>
      </w:pPr>
    </w:p>
    <w:p>
      <w:pPr>
        <w:pStyle w:val="Heading4"/>
        <w:ind w:left="764"/>
      </w:pPr>
      <w:r>
        <w:rPr/>
        <w:t>7.合同授予</w:t>
      </w:r>
    </w:p>
    <w:p>
      <w:pPr>
        <w:pStyle w:val="BodyText"/>
        <w:spacing w:before="3"/>
        <w:rPr>
          <w:rFonts w:ascii="黑体"/>
          <w:sz w:val="34"/>
        </w:rPr>
      </w:pPr>
    </w:p>
    <w:p>
      <w:pPr>
        <w:pStyle w:val="Heading7"/>
        <w:numPr>
          <w:ilvl w:val="1"/>
          <w:numId w:val="35"/>
        </w:numPr>
        <w:tabs>
          <w:tab w:pos="1331" w:val="left" w:leader="none"/>
        </w:tabs>
        <w:spacing w:line="240" w:lineRule="auto" w:before="1" w:after="0"/>
        <w:ind w:left="1330" w:right="0" w:hanging="514"/>
        <w:jc w:val="left"/>
      </w:pPr>
      <w:r>
        <w:rPr>
          <w:spacing w:val="-7"/>
        </w:rPr>
        <w:t>中标候选人公示</w:t>
      </w:r>
    </w:p>
    <w:p>
      <w:pPr>
        <w:pStyle w:val="BodyText"/>
        <w:spacing w:before="12"/>
        <w:rPr>
          <w:rFonts w:ascii="黑体"/>
          <w:sz w:val="25"/>
        </w:rPr>
      </w:pPr>
    </w:p>
    <w:p>
      <w:pPr>
        <w:pStyle w:val="BodyText"/>
        <w:spacing w:line="364" w:lineRule="auto"/>
        <w:ind w:left="115" w:right="1122"/>
      </w:pPr>
      <w:r>
        <w:rPr/>
        <w:t>招标人在收到评标报告之日起 </w:t>
      </w:r>
      <w:r>
        <w:rPr>
          <w:rFonts w:ascii="Calibri" w:eastAsia="Calibri"/>
        </w:rPr>
        <w:t>3 </w:t>
      </w:r>
      <w:r>
        <w:rPr/>
        <w:t>日内，按照投标人须知前附表规定的公示媒介和期限公示中标候选人</w:t>
      </w:r>
    </w:p>
    <w:p>
      <w:pPr>
        <w:pStyle w:val="BodyText"/>
        <w:spacing w:before="148"/>
        <w:ind w:left="115"/>
      </w:pPr>
      <w:r>
        <w:rPr/>
        <w:t>，公示期不得少于 </w:t>
      </w:r>
      <w:r>
        <w:rPr>
          <w:rFonts w:ascii="Calibri" w:eastAsia="Calibri"/>
        </w:rPr>
        <w:t>3 </w:t>
      </w:r>
      <w:r>
        <w:rPr/>
        <w:t>天。</w:t>
      </w:r>
    </w:p>
    <w:p>
      <w:pPr>
        <w:pStyle w:val="BodyText"/>
        <w:rPr>
          <w:sz w:val="22"/>
        </w:rPr>
      </w:pPr>
    </w:p>
    <w:p>
      <w:pPr>
        <w:pStyle w:val="Heading7"/>
        <w:numPr>
          <w:ilvl w:val="1"/>
          <w:numId w:val="35"/>
        </w:numPr>
        <w:tabs>
          <w:tab w:pos="1316" w:val="left" w:leader="none"/>
        </w:tabs>
        <w:spacing w:line="240" w:lineRule="auto" w:before="143" w:after="0"/>
        <w:ind w:left="1316" w:right="0" w:hanging="500"/>
        <w:jc w:val="left"/>
      </w:pPr>
      <w:r>
        <w:rPr>
          <w:spacing w:val="-5"/>
        </w:rPr>
        <w:t>评标结果异议</w:t>
      </w:r>
    </w:p>
    <w:p>
      <w:pPr>
        <w:pStyle w:val="BodyText"/>
        <w:spacing w:before="9"/>
        <w:rPr>
          <w:rFonts w:ascii="黑体"/>
          <w:sz w:val="29"/>
        </w:rPr>
      </w:pPr>
    </w:p>
    <w:p>
      <w:pPr>
        <w:pStyle w:val="BodyText"/>
        <w:spacing w:line="364" w:lineRule="auto"/>
        <w:ind w:left="125" w:right="1135" w:firstLine="415"/>
      </w:pPr>
      <w:r>
        <w:rPr/>
        <w:t>投标人或者其他利害关系人对评标结果有异议的，应当在中标候选人公示期间提出。招标人将在 收到异议之日起 </w:t>
      </w:r>
      <w:r>
        <w:rPr>
          <w:rFonts w:ascii="Calibri" w:eastAsia="Calibri"/>
        </w:rPr>
        <w:t>3 </w:t>
      </w:r>
      <w:r>
        <w:rPr/>
        <w:t>日内作出答复；作出答复前，将暂停招标投标活动。</w:t>
      </w:r>
    </w:p>
    <w:p>
      <w:pPr>
        <w:pStyle w:val="Heading7"/>
        <w:numPr>
          <w:ilvl w:val="1"/>
          <w:numId w:val="35"/>
        </w:numPr>
        <w:tabs>
          <w:tab w:pos="1331" w:val="left" w:leader="none"/>
        </w:tabs>
        <w:spacing w:line="240" w:lineRule="auto" w:before="164" w:after="0"/>
        <w:ind w:left="1330" w:right="0" w:hanging="514"/>
        <w:jc w:val="left"/>
      </w:pPr>
      <w:r>
        <w:rPr>
          <w:spacing w:val="-5"/>
        </w:rPr>
        <w:t>中标候选人履约能力审查</w:t>
      </w:r>
    </w:p>
    <w:p>
      <w:pPr>
        <w:pStyle w:val="BodyText"/>
        <w:spacing w:before="7"/>
        <w:rPr>
          <w:rFonts w:ascii="黑体"/>
          <w:sz w:val="29"/>
        </w:rPr>
      </w:pPr>
    </w:p>
    <w:p>
      <w:pPr>
        <w:pStyle w:val="BodyText"/>
        <w:spacing w:line="364" w:lineRule="auto"/>
        <w:ind w:left="132" w:right="1089" w:firstLine="422"/>
      </w:pPr>
      <w:r>
        <w:rPr/>
        <w:t>中标候选人的经营、财务状况发生较大变化或存在违法行为，招标人认为可能影响其履约能力 的，将在发出中标通知书前提请原评标委员会按照招标文件规定的标准和方法进行审查确认</w:t>
      </w:r>
    </w:p>
    <w:p>
      <w:pPr>
        <w:pStyle w:val="BodyText"/>
        <w:spacing w:line="255" w:lineRule="exact"/>
        <w:ind w:left="132"/>
      </w:pPr>
      <w:r>
        <w:rPr>
          <w:w w:val="99"/>
        </w:rPr>
        <w:t>。</w:t>
      </w:r>
    </w:p>
    <w:p>
      <w:pPr>
        <w:pStyle w:val="BodyText"/>
        <w:rPr>
          <w:sz w:val="23"/>
        </w:rPr>
      </w:pPr>
    </w:p>
    <w:p>
      <w:pPr>
        <w:pStyle w:val="Heading7"/>
        <w:numPr>
          <w:ilvl w:val="1"/>
          <w:numId w:val="35"/>
        </w:numPr>
        <w:tabs>
          <w:tab w:pos="1304" w:val="left" w:leader="none"/>
        </w:tabs>
        <w:spacing w:line="240" w:lineRule="auto" w:before="0" w:after="0"/>
        <w:ind w:left="1304" w:right="0" w:hanging="488"/>
        <w:jc w:val="left"/>
      </w:pPr>
      <w:r>
        <w:rPr>
          <w:spacing w:val="-3"/>
        </w:rPr>
        <w:t>定标</w:t>
      </w:r>
    </w:p>
    <w:p>
      <w:pPr>
        <w:pStyle w:val="BodyText"/>
        <w:spacing w:before="7"/>
        <w:rPr>
          <w:rFonts w:ascii="黑体"/>
          <w:sz w:val="29"/>
        </w:rPr>
      </w:pPr>
    </w:p>
    <w:p>
      <w:pPr>
        <w:pStyle w:val="BodyText"/>
        <w:ind w:left="538"/>
      </w:pPr>
      <w:r>
        <w:rPr/>
        <w:t>按照投标人须知前附表的规定，招标人或招标人授权的评标委员会依法确定中标人。</w:t>
      </w:r>
    </w:p>
    <w:p>
      <w:pPr>
        <w:pStyle w:val="BodyText"/>
      </w:pPr>
    </w:p>
    <w:p>
      <w:pPr>
        <w:pStyle w:val="Heading7"/>
        <w:numPr>
          <w:ilvl w:val="1"/>
          <w:numId w:val="35"/>
        </w:numPr>
        <w:tabs>
          <w:tab w:pos="1324" w:val="left" w:leader="none"/>
        </w:tabs>
        <w:spacing w:line="240" w:lineRule="auto" w:before="169" w:after="0"/>
        <w:ind w:left="1323" w:right="0" w:hanging="507"/>
        <w:jc w:val="left"/>
      </w:pPr>
      <w:r>
        <w:rPr>
          <w:spacing w:val="-7"/>
        </w:rPr>
        <w:t>中标通知</w:t>
      </w:r>
    </w:p>
    <w:p>
      <w:pPr>
        <w:pStyle w:val="BodyText"/>
        <w:spacing w:before="9"/>
        <w:rPr>
          <w:rFonts w:ascii="黑体"/>
          <w:sz w:val="29"/>
        </w:rPr>
      </w:pPr>
    </w:p>
    <w:p>
      <w:pPr>
        <w:pStyle w:val="BodyText"/>
        <w:spacing w:line="364" w:lineRule="auto"/>
        <w:ind w:left="120" w:right="1127" w:firstLine="415"/>
      </w:pPr>
      <w:r>
        <w:rPr/>
        <w:t>在本章第 </w:t>
      </w:r>
      <w:r>
        <w:rPr>
          <w:rFonts w:ascii="Calibri" w:eastAsia="Calibri"/>
        </w:rPr>
        <w:t>3.3 </w:t>
      </w:r>
      <w:r>
        <w:rPr/>
        <w:t>款规定的投标有效期内，招标人以书面形式向中标人发出中标通知书，同时将中标 结果通知未中标的投标人。</w:t>
      </w:r>
    </w:p>
    <w:p>
      <w:pPr>
        <w:pStyle w:val="Heading7"/>
        <w:numPr>
          <w:ilvl w:val="1"/>
          <w:numId w:val="35"/>
        </w:numPr>
        <w:tabs>
          <w:tab w:pos="1312" w:val="left" w:leader="none"/>
        </w:tabs>
        <w:spacing w:line="240" w:lineRule="auto" w:before="164" w:after="0"/>
        <w:ind w:left="1311" w:right="0" w:hanging="495"/>
        <w:jc w:val="left"/>
      </w:pPr>
      <w:r>
        <w:rPr>
          <w:spacing w:val="-5"/>
        </w:rPr>
        <w:t>履约保证金</w:t>
      </w:r>
      <w:r>
        <w:rPr>
          <w:spacing w:val="-3"/>
        </w:rPr>
        <w:t>（</w:t>
      </w:r>
      <w:r>
        <w:rPr>
          <w:spacing w:val="-5"/>
        </w:rPr>
        <w:t>不要求</w:t>
      </w:r>
      <w:r>
        <w:rPr/>
        <w:t>）</w:t>
      </w:r>
    </w:p>
    <w:p>
      <w:pPr>
        <w:pStyle w:val="BodyText"/>
        <w:spacing w:before="9"/>
        <w:rPr>
          <w:rFonts w:ascii="黑体"/>
          <w:sz w:val="29"/>
        </w:rPr>
      </w:pPr>
    </w:p>
    <w:p>
      <w:pPr>
        <w:pStyle w:val="ListParagraph"/>
        <w:numPr>
          <w:ilvl w:val="2"/>
          <w:numId w:val="36"/>
        </w:numPr>
        <w:tabs>
          <w:tab w:pos="1079" w:val="left" w:leader="none"/>
        </w:tabs>
        <w:spacing w:line="364" w:lineRule="auto" w:before="1" w:after="0"/>
        <w:ind w:left="116" w:right="928" w:firstLine="422"/>
        <w:jc w:val="left"/>
        <w:rPr>
          <w:sz w:val="20"/>
        </w:rPr>
      </w:pPr>
      <w:r>
        <w:rPr>
          <w:spacing w:val="3"/>
          <w:sz w:val="20"/>
        </w:rPr>
        <w:t>在签订合同前， 中标人应按投标人须知前附表规定的形式、金额和招标文件第四章</w:t>
      </w:r>
      <w:r>
        <w:rPr>
          <w:rFonts w:ascii="Calibri" w:hAnsi="Calibri" w:eastAsia="Calibri"/>
          <w:spacing w:val="-15"/>
          <w:sz w:val="20"/>
        </w:rPr>
        <w:t>“ </w:t>
      </w:r>
      <w:r>
        <w:rPr>
          <w:sz w:val="20"/>
        </w:rPr>
        <w:t>合</w:t>
      </w:r>
      <w:r>
        <w:rPr>
          <w:spacing w:val="10"/>
          <w:sz w:val="20"/>
        </w:rPr>
        <w:t>同条 款及格式</w:t>
      </w:r>
      <w:r>
        <w:rPr>
          <w:rFonts w:ascii="Calibri" w:hAnsi="Calibri" w:eastAsia="Calibri"/>
          <w:spacing w:val="-15"/>
          <w:sz w:val="20"/>
        </w:rPr>
        <w:t>” </w:t>
      </w:r>
      <w:r>
        <w:rPr>
          <w:spacing w:val="15"/>
          <w:sz w:val="20"/>
        </w:rPr>
        <w:t>规定的或者事先经过招标人书面认可的履约保证金格式向招标人提交履约保证金</w:t>
      </w:r>
    </w:p>
    <w:p>
      <w:pPr>
        <w:spacing w:after="0" w:line="364" w:lineRule="auto"/>
        <w:jc w:val="left"/>
        <w:rPr>
          <w:sz w:val="20"/>
        </w:rPr>
        <w:sectPr>
          <w:pgSz w:w="11910" w:h="16840"/>
          <w:pgMar w:header="0" w:footer="766" w:top="1340" w:bottom="960" w:left="1300" w:right="500"/>
        </w:sectPr>
      </w:pPr>
    </w:p>
    <w:p>
      <w:pPr>
        <w:pStyle w:val="BodyText"/>
        <w:spacing w:before="60"/>
        <w:ind w:left="115"/>
      </w:pPr>
      <w:r>
        <w:rPr/>
        <w:t>。除投标 人须知前附表另有规定外，履约保证金为中标合同金额的 </w:t>
      </w:r>
      <w:r>
        <w:rPr>
          <w:rFonts w:ascii="Calibri" w:eastAsia="Calibri"/>
        </w:rPr>
        <w:t>10% </w:t>
      </w:r>
      <w:r>
        <w:rPr/>
        <w:t>。</w:t>
      </w:r>
    </w:p>
    <w:p>
      <w:pPr>
        <w:pStyle w:val="BodyText"/>
        <w:spacing w:before="8"/>
        <w:rPr>
          <w:sz w:val="24"/>
        </w:rPr>
      </w:pPr>
    </w:p>
    <w:p>
      <w:pPr>
        <w:pStyle w:val="ListParagraph"/>
        <w:numPr>
          <w:ilvl w:val="2"/>
          <w:numId w:val="36"/>
        </w:numPr>
        <w:tabs>
          <w:tab w:pos="1093" w:val="left" w:leader="none"/>
        </w:tabs>
        <w:spacing w:line="367" w:lineRule="auto" w:before="0" w:after="0"/>
        <w:ind w:left="116" w:right="1120" w:firstLine="422"/>
        <w:jc w:val="left"/>
        <w:rPr>
          <w:sz w:val="20"/>
        </w:rPr>
      </w:pPr>
      <w:r>
        <w:rPr>
          <w:spacing w:val="2"/>
          <w:sz w:val="20"/>
        </w:rPr>
        <w:t>中标人不能按本章第 </w:t>
      </w:r>
      <w:r>
        <w:rPr>
          <w:rFonts w:ascii="Calibri" w:eastAsia="Calibri"/>
          <w:spacing w:val="5"/>
          <w:sz w:val="20"/>
        </w:rPr>
        <w:t>7.6.1</w:t>
      </w:r>
      <w:r>
        <w:rPr>
          <w:rFonts w:ascii="Calibri" w:eastAsia="Calibri"/>
          <w:spacing w:val="40"/>
          <w:sz w:val="20"/>
        </w:rPr>
        <w:t> </w:t>
      </w:r>
      <w:r>
        <w:rPr>
          <w:spacing w:val="6"/>
          <w:sz w:val="20"/>
        </w:rPr>
        <w:t>项要求提交履约保证金的，视为放弃中标，其投标保证金不</w:t>
      </w:r>
      <w:r>
        <w:rPr>
          <w:spacing w:val="2"/>
          <w:sz w:val="20"/>
        </w:rPr>
        <w:t>予退 还，给招标人造成的损失超过投标保证金数额的，中标人还应当对超过部分予以赔偿。</w:t>
      </w:r>
    </w:p>
    <w:p>
      <w:pPr>
        <w:pStyle w:val="Heading7"/>
        <w:spacing w:before="156"/>
        <w:ind w:left="816"/>
      </w:pPr>
      <w:r>
        <w:rPr/>
        <w:t>7.7 签订合同</w:t>
      </w:r>
    </w:p>
    <w:p>
      <w:pPr>
        <w:pStyle w:val="BodyText"/>
        <w:spacing w:before="4"/>
        <w:rPr>
          <w:rFonts w:ascii="黑体"/>
          <w:sz w:val="29"/>
        </w:rPr>
      </w:pPr>
    </w:p>
    <w:p>
      <w:pPr>
        <w:pStyle w:val="ListParagraph"/>
        <w:numPr>
          <w:ilvl w:val="2"/>
          <w:numId w:val="37"/>
        </w:numPr>
        <w:tabs>
          <w:tab w:pos="1074" w:val="left" w:leader="none"/>
        </w:tabs>
        <w:spacing w:line="364" w:lineRule="auto" w:before="1" w:after="0"/>
        <w:ind w:left="116" w:right="1027" w:firstLine="422"/>
        <w:jc w:val="left"/>
        <w:rPr>
          <w:sz w:val="20"/>
        </w:rPr>
      </w:pPr>
      <w:r>
        <w:rPr>
          <w:spacing w:val="5"/>
          <w:sz w:val="20"/>
        </w:rPr>
        <w:t>招标人和中标人应当在中标通知书发出之日起 </w:t>
      </w:r>
      <w:r>
        <w:rPr>
          <w:rFonts w:ascii="Calibri" w:eastAsia="Calibri"/>
          <w:sz w:val="20"/>
        </w:rPr>
        <w:t>30</w:t>
      </w:r>
      <w:r>
        <w:rPr>
          <w:rFonts w:ascii="Calibri" w:eastAsia="Calibri"/>
          <w:spacing w:val="30"/>
          <w:sz w:val="20"/>
        </w:rPr>
        <w:t> </w:t>
      </w:r>
      <w:r>
        <w:rPr>
          <w:spacing w:val="6"/>
          <w:sz w:val="20"/>
        </w:rPr>
        <w:t>日内，根据招标文件和中标人的投标</w:t>
      </w:r>
      <w:r>
        <w:rPr>
          <w:spacing w:val="5"/>
          <w:sz w:val="20"/>
        </w:rPr>
        <w:t>文件 订立书面合同。中标人无正当理由拒签合同，在签订合同时向招标人提出附加条件，或者不</w:t>
      </w:r>
      <w:r>
        <w:rPr>
          <w:spacing w:val="6"/>
          <w:sz w:val="20"/>
        </w:rPr>
        <w:t>按照招标 文件要求提交履约保证金的，招标人有权取消其中标资格，其投标保证金不予退还；给招标人造成的 损失超过投标保证金数额的，中标人还应当对超过部分予以赔偿。</w:t>
      </w:r>
    </w:p>
    <w:p>
      <w:pPr>
        <w:pStyle w:val="BodyText"/>
        <w:spacing w:before="11"/>
        <w:rPr>
          <w:sz w:val="21"/>
        </w:rPr>
      </w:pPr>
    </w:p>
    <w:p>
      <w:pPr>
        <w:pStyle w:val="ListParagraph"/>
        <w:numPr>
          <w:ilvl w:val="2"/>
          <w:numId w:val="37"/>
        </w:numPr>
        <w:tabs>
          <w:tab w:pos="1079" w:val="left" w:leader="none"/>
        </w:tabs>
        <w:spacing w:line="364" w:lineRule="auto" w:before="0" w:after="0"/>
        <w:ind w:left="116" w:right="1194" w:firstLine="422"/>
        <w:jc w:val="left"/>
        <w:rPr>
          <w:sz w:val="20"/>
        </w:rPr>
      </w:pPr>
      <w:r>
        <w:rPr>
          <w:spacing w:val="10"/>
          <w:sz w:val="20"/>
        </w:rPr>
        <w:t>发出中标通知书后，招标人无正当理由拒签合同，或者在签订合同时向中标人提出附</w:t>
      </w:r>
      <w:r>
        <w:rPr>
          <w:spacing w:val="5"/>
          <w:sz w:val="20"/>
        </w:rPr>
        <w:t>加条 件的，招标人向中标人退还投标保证金；给中标人造成损失的，还应当赔偿损失。</w:t>
      </w:r>
    </w:p>
    <w:p>
      <w:pPr>
        <w:pStyle w:val="BodyText"/>
        <w:spacing w:before="10"/>
        <w:rPr>
          <w:sz w:val="21"/>
        </w:rPr>
      </w:pPr>
    </w:p>
    <w:p>
      <w:pPr>
        <w:pStyle w:val="ListParagraph"/>
        <w:numPr>
          <w:ilvl w:val="2"/>
          <w:numId w:val="37"/>
        </w:numPr>
        <w:tabs>
          <w:tab w:pos="1120" w:val="left" w:leader="none"/>
        </w:tabs>
        <w:spacing w:line="364" w:lineRule="auto" w:before="0" w:after="0"/>
        <w:ind w:left="116" w:right="1098" w:firstLine="456"/>
        <w:jc w:val="left"/>
        <w:rPr>
          <w:sz w:val="20"/>
        </w:rPr>
      </w:pPr>
      <w:r>
        <w:rPr>
          <w:spacing w:val="10"/>
          <w:sz w:val="20"/>
        </w:rPr>
        <w:t>联合体中标的，联合体各方应当共同与招标人签订合同，就中标项目向招标人承担连</w:t>
      </w:r>
      <w:r>
        <w:rPr>
          <w:spacing w:val="3"/>
          <w:sz w:val="20"/>
        </w:rPr>
        <w:t>带责 任。</w:t>
      </w:r>
    </w:p>
    <w:p>
      <w:pPr>
        <w:pStyle w:val="Heading4"/>
        <w:spacing w:before="165"/>
        <w:ind w:left="756"/>
      </w:pPr>
      <w:r>
        <w:rPr/>
        <w:t>8.纪律和监督</w:t>
      </w:r>
    </w:p>
    <w:p>
      <w:pPr>
        <w:pStyle w:val="BodyText"/>
        <w:spacing w:before="3"/>
        <w:rPr>
          <w:rFonts w:ascii="黑体"/>
          <w:sz w:val="34"/>
        </w:rPr>
      </w:pPr>
    </w:p>
    <w:p>
      <w:pPr>
        <w:pStyle w:val="Heading7"/>
        <w:numPr>
          <w:ilvl w:val="1"/>
          <w:numId w:val="38"/>
        </w:numPr>
        <w:tabs>
          <w:tab w:pos="1314" w:val="left" w:leader="none"/>
        </w:tabs>
        <w:spacing w:line="240" w:lineRule="auto" w:before="0" w:after="0"/>
        <w:ind w:left="1313" w:right="0" w:hanging="501"/>
        <w:jc w:val="left"/>
      </w:pPr>
      <w:r>
        <w:rPr>
          <w:spacing w:val="-4"/>
        </w:rPr>
        <w:t>对招标人的纪律要求</w:t>
      </w:r>
    </w:p>
    <w:p>
      <w:pPr>
        <w:pStyle w:val="BodyText"/>
        <w:spacing w:before="10"/>
        <w:rPr>
          <w:rFonts w:ascii="黑体"/>
          <w:sz w:val="29"/>
        </w:rPr>
      </w:pPr>
    </w:p>
    <w:p>
      <w:pPr>
        <w:pStyle w:val="BodyText"/>
        <w:spacing w:line="364" w:lineRule="auto"/>
        <w:ind w:left="120" w:right="1187" w:firstLine="415"/>
      </w:pPr>
      <w:r>
        <w:rPr/>
        <w:t>招标人不得泄露招标投标活动中应当保密的情况和资料，不得与投标人串通损害国家利益、社会 公共利益或者他人合法权益。</w:t>
      </w:r>
    </w:p>
    <w:p>
      <w:pPr>
        <w:pStyle w:val="Heading7"/>
        <w:numPr>
          <w:ilvl w:val="1"/>
          <w:numId w:val="38"/>
        </w:numPr>
        <w:tabs>
          <w:tab w:pos="1314" w:val="left" w:leader="none"/>
        </w:tabs>
        <w:spacing w:line="240" w:lineRule="auto" w:before="163" w:after="0"/>
        <w:ind w:left="1313" w:right="0" w:hanging="501"/>
        <w:jc w:val="left"/>
      </w:pPr>
      <w:r>
        <w:rPr>
          <w:spacing w:val="-4"/>
        </w:rPr>
        <w:t>对投标人的纪律要求</w:t>
      </w:r>
    </w:p>
    <w:p>
      <w:pPr>
        <w:pStyle w:val="BodyText"/>
        <w:spacing w:before="8"/>
        <w:rPr>
          <w:rFonts w:ascii="黑体"/>
          <w:sz w:val="29"/>
        </w:rPr>
      </w:pPr>
    </w:p>
    <w:p>
      <w:pPr>
        <w:pStyle w:val="BodyText"/>
        <w:spacing w:line="364" w:lineRule="auto"/>
        <w:ind w:left="115" w:right="928" w:firstLine="422"/>
        <w:jc w:val="both"/>
      </w:pPr>
      <w:r>
        <w:rPr/>
        <w:t>投标人不得相互串通投标或者与招标人串通投标，不得向招标人或者评标委员会成员行贿谋取中 标，不得以他人名义投标或者以其他方式弄虚作假骗取中标；投标人不得以任何方式干扰、影响评标 工作。</w:t>
      </w:r>
    </w:p>
    <w:p>
      <w:pPr>
        <w:pStyle w:val="Heading7"/>
        <w:numPr>
          <w:ilvl w:val="1"/>
          <w:numId w:val="38"/>
        </w:numPr>
        <w:tabs>
          <w:tab w:pos="1309" w:val="left" w:leader="none"/>
        </w:tabs>
        <w:spacing w:line="240" w:lineRule="auto" w:before="160" w:after="0"/>
        <w:ind w:left="1308" w:right="0" w:hanging="496"/>
        <w:jc w:val="left"/>
      </w:pPr>
      <w:r>
        <w:rPr>
          <w:spacing w:val="-3"/>
        </w:rPr>
        <w:t>对评标委员会成员的纪律要求</w:t>
      </w:r>
    </w:p>
    <w:p>
      <w:pPr>
        <w:pStyle w:val="BodyText"/>
        <w:spacing w:before="12"/>
        <w:rPr>
          <w:rFonts w:ascii="黑体"/>
          <w:sz w:val="29"/>
        </w:rPr>
      </w:pPr>
    </w:p>
    <w:p>
      <w:pPr>
        <w:pStyle w:val="BodyText"/>
        <w:ind w:left="535"/>
      </w:pPr>
      <w:r>
        <w:rPr/>
        <w:t>评标委员会成员不得收受他人的财物或者其他好处，不得向他人透露对投标文件的评审和比较</w:t>
      </w:r>
    </w:p>
    <w:p>
      <w:pPr>
        <w:pStyle w:val="BodyText"/>
        <w:spacing w:line="364" w:lineRule="auto" w:before="133"/>
        <w:ind w:left="115" w:right="1022"/>
        <w:jc w:val="both"/>
      </w:pPr>
      <w:r>
        <w:rPr/>
        <w:t>、 中标候选人的推荐情况以及评标有关的其他情况。在评标活动中，评标委员会成员应当客观、公正地 履行职责，遵守职业道德，不得擅离职守，影响评标程序正常进行，不得使用第三章</w:t>
      </w:r>
      <w:r>
        <w:rPr>
          <w:rFonts w:ascii="Calibri" w:hAnsi="Calibri" w:eastAsia="Calibri"/>
        </w:rPr>
        <w:t>“</w:t>
      </w:r>
      <w:r>
        <w:rPr/>
        <w:t>评标办法及定 标办法</w:t>
      </w:r>
      <w:r>
        <w:rPr>
          <w:rFonts w:ascii="Calibri" w:hAnsi="Calibri" w:eastAsia="Calibri"/>
        </w:rPr>
        <w:t>”</w:t>
      </w:r>
      <w:r>
        <w:rPr/>
        <w:t>没有规定的评审因素和标准进行评标。</w:t>
      </w:r>
    </w:p>
    <w:p>
      <w:pPr>
        <w:pStyle w:val="Heading7"/>
        <w:numPr>
          <w:ilvl w:val="1"/>
          <w:numId w:val="38"/>
        </w:numPr>
        <w:tabs>
          <w:tab w:pos="1314" w:val="left" w:leader="none"/>
        </w:tabs>
        <w:spacing w:line="240" w:lineRule="auto" w:before="160" w:after="0"/>
        <w:ind w:left="1313" w:right="0" w:hanging="501"/>
        <w:jc w:val="left"/>
      </w:pPr>
      <w:r>
        <w:rPr>
          <w:spacing w:val="-3"/>
        </w:rPr>
        <w:t>对与评标活动有关的工作人员的纪律要求</w:t>
      </w:r>
    </w:p>
    <w:p>
      <w:pPr>
        <w:spacing w:after="0" w:line="240" w:lineRule="auto"/>
        <w:jc w:val="left"/>
        <w:sectPr>
          <w:pgSz w:w="11910" w:h="16840"/>
          <w:pgMar w:header="0" w:footer="766" w:top="1340" w:bottom="960" w:left="1300" w:right="500"/>
        </w:sectPr>
      </w:pPr>
    </w:p>
    <w:p>
      <w:pPr>
        <w:pStyle w:val="BodyText"/>
        <w:spacing w:line="364" w:lineRule="auto" w:before="60"/>
        <w:ind w:left="115" w:right="928" w:firstLine="422"/>
        <w:jc w:val="both"/>
      </w:pPr>
      <w:r>
        <w:rPr/>
        <w:t>与评标活动有关的工作人员不得收受他人的财物或者其他好处，不得向他人透露对投标文件的评 审和比较、中标候选人的推荐情况以及评标有关的其他情况。在评标活动中，与评标活动有关的工作 人员不得擅离职守，影响评标程序正常进行。</w:t>
      </w:r>
    </w:p>
    <w:p>
      <w:pPr>
        <w:pStyle w:val="Heading7"/>
        <w:numPr>
          <w:ilvl w:val="1"/>
          <w:numId w:val="38"/>
        </w:numPr>
        <w:tabs>
          <w:tab w:pos="1302" w:val="left" w:leader="none"/>
        </w:tabs>
        <w:spacing w:line="240" w:lineRule="auto" w:before="163" w:after="0"/>
        <w:ind w:left="1301" w:right="0" w:hanging="489"/>
        <w:jc w:val="left"/>
      </w:pPr>
      <w:r>
        <w:rPr>
          <w:spacing w:val="-3"/>
        </w:rPr>
        <w:t>投诉</w:t>
      </w:r>
    </w:p>
    <w:p>
      <w:pPr>
        <w:pStyle w:val="BodyText"/>
        <w:spacing w:before="1"/>
        <w:rPr>
          <w:rFonts w:ascii="黑体"/>
          <w:sz w:val="30"/>
        </w:rPr>
      </w:pPr>
    </w:p>
    <w:p>
      <w:pPr>
        <w:pStyle w:val="BodyText"/>
        <w:spacing w:line="364" w:lineRule="auto" w:before="1"/>
        <w:ind w:left="115" w:right="945" w:firstLine="420"/>
      </w:pPr>
      <w:r>
        <w:rPr>
          <w:rFonts w:ascii="Calibri" w:eastAsia="Calibri"/>
        </w:rPr>
        <w:t>8.5. 1 </w:t>
      </w:r>
      <w:r>
        <w:rPr/>
        <w:t>投标人或者其他利害关系人认为招标投标活动不符合法律、行政法规规定的，可以自知道或 者应当知道之日起 </w:t>
      </w:r>
      <w:r>
        <w:rPr>
          <w:rFonts w:ascii="Calibri" w:eastAsia="Calibri"/>
        </w:rPr>
        <w:t>10 </w:t>
      </w:r>
      <w:r>
        <w:rPr/>
        <w:t>日内向有关行政监督部门投诉。投诉应当有明确的请求和必要的证 明材料。</w:t>
      </w:r>
    </w:p>
    <w:p>
      <w:pPr>
        <w:pStyle w:val="BodyText"/>
        <w:spacing w:before="9"/>
        <w:rPr>
          <w:sz w:val="21"/>
        </w:rPr>
      </w:pPr>
    </w:p>
    <w:p>
      <w:pPr>
        <w:pStyle w:val="BodyText"/>
        <w:spacing w:line="367" w:lineRule="auto"/>
        <w:ind w:left="118" w:right="1122" w:firstLine="417"/>
      </w:pPr>
      <w:r>
        <w:rPr>
          <w:rFonts w:ascii="Calibri" w:eastAsia="Calibri"/>
        </w:rPr>
        <w:t>8.5.2 </w:t>
      </w:r>
      <w:r>
        <w:rPr/>
        <w:t>投标人或者其他利害关系人对招标文件、开标和评标结果提出投诉的，应当先向招标人提出 异议。异议答复期间不计算在第 </w:t>
      </w:r>
      <w:r>
        <w:rPr>
          <w:rFonts w:ascii="Calibri" w:eastAsia="Calibri"/>
        </w:rPr>
        <w:t>8.5.1 </w:t>
      </w:r>
      <w:r>
        <w:rPr/>
        <w:t>项规定的期限内。</w:t>
      </w:r>
    </w:p>
    <w:p>
      <w:pPr>
        <w:pStyle w:val="BodyText"/>
        <w:spacing w:before="12"/>
        <w:rPr>
          <w:sz w:val="22"/>
        </w:rPr>
      </w:pPr>
    </w:p>
    <w:p>
      <w:pPr>
        <w:pStyle w:val="Heading4"/>
      </w:pPr>
      <w:r>
        <w:rPr/>
        <w:t>9.是否采用电子招标投标</w:t>
      </w:r>
    </w:p>
    <w:p>
      <w:pPr>
        <w:pStyle w:val="BodyText"/>
        <w:spacing w:before="5"/>
        <w:rPr>
          <w:rFonts w:ascii="黑体"/>
          <w:sz w:val="33"/>
        </w:rPr>
      </w:pPr>
    </w:p>
    <w:p>
      <w:pPr>
        <w:pStyle w:val="BodyText"/>
        <w:spacing w:before="1"/>
        <w:ind w:left="535"/>
      </w:pPr>
      <w:r>
        <w:rPr/>
        <w:t>本招标项目是否采用电子招标投标方式，见投标人须知前附表。</w:t>
      </w:r>
    </w:p>
    <w:p>
      <w:pPr>
        <w:pStyle w:val="BodyText"/>
      </w:pPr>
    </w:p>
    <w:p>
      <w:pPr>
        <w:pStyle w:val="Heading4"/>
        <w:spacing w:before="174"/>
        <w:ind w:left="776"/>
      </w:pPr>
      <w:r>
        <w:rPr/>
        <w:t>10.需要补充的其他内容</w:t>
      </w:r>
    </w:p>
    <w:p>
      <w:pPr>
        <w:pStyle w:val="BodyText"/>
        <w:spacing w:before="5"/>
        <w:rPr>
          <w:rFonts w:ascii="黑体"/>
          <w:sz w:val="33"/>
        </w:rPr>
      </w:pPr>
    </w:p>
    <w:p>
      <w:pPr>
        <w:pStyle w:val="BodyText"/>
        <w:ind w:left="545"/>
      </w:pPr>
      <w:r>
        <w:rPr/>
        <w:t>需要补充的其他内容：见投标人须知前附表。</w:t>
      </w:r>
    </w:p>
    <w:p>
      <w:pPr>
        <w:spacing w:after="0"/>
        <w:sectPr>
          <w:pgSz w:w="11910" w:h="16840"/>
          <w:pgMar w:header="0" w:footer="766" w:top="1340" w:bottom="960" w:left="1300" w:right="500"/>
        </w:sectPr>
      </w:pPr>
    </w:p>
    <w:p>
      <w:pPr>
        <w:pStyle w:val="Heading7"/>
        <w:spacing w:before="34"/>
        <w:ind w:left="965"/>
        <w:rPr>
          <w:rFonts w:ascii="宋体" w:eastAsia="宋体" w:hint="eastAsia"/>
        </w:rPr>
      </w:pPr>
      <w:r>
        <w:rPr>
          <w:rFonts w:ascii="宋体" w:eastAsia="宋体" w:hint="eastAsia"/>
        </w:rPr>
        <w:t>附件一：开标记录表</w:t>
      </w:r>
    </w:p>
    <w:p>
      <w:pPr>
        <w:pStyle w:val="BodyText"/>
        <w:spacing w:before="12"/>
        <w:rPr>
          <w:sz w:val="23"/>
        </w:rPr>
      </w:pPr>
    </w:p>
    <w:p>
      <w:pPr>
        <w:pStyle w:val="Heading7"/>
        <w:spacing w:before="62"/>
        <w:ind w:left="355" w:right="1147"/>
        <w:jc w:val="center"/>
        <w:rPr>
          <w:rFonts w:ascii="宋体" w:eastAsia="宋体" w:hint="eastAsia"/>
        </w:rPr>
      </w:pPr>
      <w:r>
        <w:rPr>
          <w:rFonts w:ascii="宋体" w:eastAsia="宋体" w:hint="eastAsia"/>
        </w:rPr>
        <w:t>开标记录表</w:t>
      </w:r>
    </w:p>
    <w:p>
      <w:pPr>
        <w:pStyle w:val="BodyText"/>
        <w:spacing w:before="8"/>
        <w:rPr>
          <w:sz w:val="33"/>
        </w:rPr>
      </w:pPr>
    </w:p>
    <w:p>
      <w:pPr>
        <w:pStyle w:val="BodyText"/>
        <w:tabs>
          <w:tab w:pos="1649" w:val="left" w:leader="none"/>
          <w:tab w:pos="2806" w:val="left" w:leader="none"/>
          <w:tab w:pos="3994" w:val="left" w:leader="none"/>
          <w:tab w:pos="5158" w:val="left" w:leader="none"/>
          <w:tab w:pos="6315" w:val="left" w:leader="none"/>
        </w:tabs>
        <w:spacing w:before="1"/>
        <w:ind w:left="115"/>
      </w:pPr>
      <w:r>
        <w:rPr/>
        <w:t>开标时间：</w:t>
      </w:r>
      <w:r>
        <w:rPr>
          <w:u w:val="single"/>
        </w:rPr>
        <w:t> </w:t>
        <w:tab/>
      </w:r>
      <w:r>
        <w:rPr/>
        <w:t>年</w:t>
      </w:r>
      <w:r>
        <w:rPr>
          <w:u w:val="single"/>
        </w:rPr>
        <w:t> </w:t>
        <w:tab/>
      </w:r>
      <w:r>
        <w:rPr/>
        <w:t>月</w:t>
      </w:r>
      <w:r>
        <w:rPr>
          <w:u w:val="single"/>
        </w:rPr>
        <w:t> </w:t>
        <w:tab/>
      </w:r>
      <w:r>
        <w:rPr/>
        <w:t>日</w:t>
      </w:r>
      <w:r>
        <w:rPr>
          <w:u w:val="single"/>
        </w:rPr>
        <w:t> </w:t>
        <w:tab/>
      </w:r>
      <w:r>
        <w:rPr/>
        <w:t>时</w:t>
      </w:r>
      <w:r>
        <w:rPr>
          <w:u w:val="single"/>
        </w:rPr>
        <w:t> </w:t>
        <w:tab/>
      </w:r>
      <w:r>
        <w:rPr/>
        <w:t>分</w:t>
      </w:r>
    </w:p>
    <w:p>
      <w:pPr>
        <w:pStyle w:val="BodyText"/>
      </w:pPr>
    </w:p>
    <w:p>
      <w:pPr>
        <w:pStyle w:val="BodyText"/>
        <w:spacing w:before="4"/>
        <w:rPr>
          <w:sz w:val="27"/>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43"/>
        <w:gridCol w:w="1161"/>
        <w:gridCol w:w="1129"/>
        <w:gridCol w:w="1132"/>
        <w:gridCol w:w="1290"/>
        <w:gridCol w:w="971"/>
        <w:gridCol w:w="1128"/>
        <w:gridCol w:w="808"/>
        <w:gridCol w:w="1134"/>
      </w:tblGrid>
      <w:tr>
        <w:trPr>
          <w:trHeight w:val="1250" w:hRule="atLeast"/>
        </w:trPr>
        <w:tc>
          <w:tcPr>
            <w:tcW w:w="743" w:type="dxa"/>
          </w:tcPr>
          <w:p>
            <w:pPr>
              <w:pStyle w:val="TableParagraph"/>
              <w:rPr>
                <w:sz w:val="20"/>
              </w:rPr>
            </w:pPr>
          </w:p>
          <w:p>
            <w:pPr>
              <w:pStyle w:val="TableParagraph"/>
              <w:spacing w:before="9"/>
              <w:rPr>
                <w:sz w:val="22"/>
              </w:rPr>
            </w:pPr>
          </w:p>
          <w:p>
            <w:pPr>
              <w:pStyle w:val="TableParagraph"/>
              <w:ind w:left="176"/>
              <w:rPr>
                <w:sz w:val="20"/>
              </w:rPr>
            </w:pPr>
            <w:r>
              <w:rPr>
                <w:sz w:val="20"/>
              </w:rPr>
              <w:t>序号</w:t>
            </w:r>
          </w:p>
        </w:tc>
        <w:tc>
          <w:tcPr>
            <w:tcW w:w="1161" w:type="dxa"/>
          </w:tcPr>
          <w:p>
            <w:pPr>
              <w:pStyle w:val="TableParagraph"/>
              <w:rPr>
                <w:sz w:val="20"/>
              </w:rPr>
            </w:pPr>
          </w:p>
          <w:p>
            <w:pPr>
              <w:pStyle w:val="TableParagraph"/>
              <w:spacing w:before="9"/>
              <w:rPr>
                <w:sz w:val="22"/>
              </w:rPr>
            </w:pPr>
          </w:p>
          <w:p>
            <w:pPr>
              <w:pStyle w:val="TableParagraph"/>
              <w:ind w:left="211"/>
              <w:rPr>
                <w:sz w:val="20"/>
              </w:rPr>
            </w:pPr>
            <w:r>
              <w:rPr>
                <w:sz w:val="20"/>
              </w:rPr>
              <w:t>投标人</w:t>
            </w:r>
          </w:p>
        </w:tc>
        <w:tc>
          <w:tcPr>
            <w:tcW w:w="1129" w:type="dxa"/>
          </w:tcPr>
          <w:p>
            <w:pPr>
              <w:pStyle w:val="TableParagraph"/>
              <w:rPr>
                <w:sz w:val="20"/>
              </w:rPr>
            </w:pPr>
          </w:p>
          <w:p>
            <w:pPr>
              <w:pStyle w:val="TableParagraph"/>
              <w:spacing w:before="9"/>
              <w:rPr>
                <w:sz w:val="22"/>
              </w:rPr>
            </w:pPr>
          </w:p>
          <w:p>
            <w:pPr>
              <w:pStyle w:val="TableParagraph"/>
              <w:ind w:left="96"/>
              <w:rPr>
                <w:sz w:val="20"/>
              </w:rPr>
            </w:pPr>
            <w:r>
              <w:rPr>
                <w:sz w:val="20"/>
              </w:rPr>
              <w:t>密封情况</w:t>
            </w:r>
          </w:p>
        </w:tc>
        <w:tc>
          <w:tcPr>
            <w:tcW w:w="1132" w:type="dxa"/>
          </w:tcPr>
          <w:p>
            <w:pPr>
              <w:pStyle w:val="TableParagraph"/>
              <w:spacing w:before="7"/>
              <w:rPr>
                <w:sz w:val="27"/>
              </w:rPr>
            </w:pPr>
          </w:p>
          <w:p>
            <w:pPr>
              <w:pStyle w:val="TableParagraph"/>
              <w:spacing w:line="367" w:lineRule="auto"/>
              <w:ind w:left="403" w:right="215" w:hanging="305"/>
              <w:rPr>
                <w:sz w:val="20"/>
              </w:rPr>
            </w:pPr>
            <w:r>
              <w:rPr>
                <w:sz w:val="20"/>
              </w:rPr>
              <w:t>投标保证金</w:t>
            </w:r>
          </w:p>
        </w:tc>
        <w:tc>
          <w:tcPr>
            <w:tcW w:w="1290" w:type="dxa"/>
          </w:tcPr>
          <w:p>
            <w:pPr>
              <w:pStyle w:val="TableParagraph"/>
              <w:spacing w:before="4"/>
              <w:rPr>
                <w:sz w:val="19"/>
              </w:rPr>
            </w:pPr>
          </w:p>
          <w:p>
            <w:pPr>
              <w:pStyle w:val="TableParagraph"/>
              <w:spacing w:line="369" w:lineRule="auto"/>
              <w:ind w:left="247" w:right="228" w:hanging="212"/>
              <w:rPr>
                <w:sz w:val="20"/>
              </w:rPr>
            </w:pPr>
            <w:r>
              <w:rPr>
                <w:sz w:val="20"/>
              </w:rPr>
              <w:t>投标报价（ 万元）</w:t>
            </w:r>
          </w:p>
        </w:tc>
        <w:tc>
          <w:tcPr>
            <w:tcW w:w="971" w:type="dxa"/>
          </w:tcPr>
          <w:p>
            <w:pPr>
              <w:pStyle w:val="TableParagraph"/>
              <w:spacing w:before="4"/>
              <w:rPr>
                <w:sz w:val="19"/>
              </w:rPr>
            </w:pPr>
          </w:p>
          <w:p>
            <w:pPr>
              <w:pStyle w:val="TableParagraph"/>
              <w:spacing w:line="369" w:lineRule="auto"/>
              <w:ind w:left="311" w:right="148" w:hanging="305"/>
              <w:rPr>
                <w:sz w:val="20"/>
              </w:rPr>
            </w:pPr>
            <w:r>
              <w:rPr>
                <w:sz w:val="20"/>
              </w:rPr>
              <w:t>项目负责人</w:t>
            </w:r>
          </w:p>
        </w:tc>
        <w:tc>
          <w:tcPr>
            <w:tcW w:w="1128" w:type="dxa"/>
          </w:tcPr>
          <w:p>
            <w:pPr>
              <w:pStyle w:val="TableParagraph"/>
              <w:rPr>
                <w:sz w:val="20"/>
              </w:rPr>
            </w:pPr>
          </w:p>
          <w:p>
            <w:pPr>
              <w:pStyle w:val="TableParagraph"/>
              <w:spacing w:before="9"/>
              <w:rPr>
                <w:sz w:val="22"/>
              </w:rPr>
            </w:pPr>
          </w:p>
          <w:p>
            <w:pPr>
              <w:pStyle w:val="TableParagraph"/>
              <w:ind w:left="98"/>
              <w:rPr>
                <w:sz w:val="20"/>
              </w:rPr>
            </w:pPr>
            <w:r>
              <w:rPr>
                <w:sz w:val="20"/>
              </w:rPr>
              <w:t>服务期限</w:t>
            </w:r>
          </w:p>
        </w:tc>
        <w:tc>
          <w:tcPr>
            <w:tcW w:w="808" w:type="dxa"/>
          </w:tcPr>
          <w:p>
            <w:pPr>
              <w:pStyle w:val="TableParagraph"/>
              <w:rPr>
                <w:sz w:val="20"/>
              </w:rPr>
            </w:pPr>
          </w:p>
          <w:p>
            <w:pPr>
              <w:pStyle w:val="TableParagraph"/>
              <w:spacing w:before="9"/>
              <w:rPr>
                <w:sz w:val="22"/>
              </w:rPr>
            </w:pPr>
          </w:p>
          <w:p>
            <w:pPr>
              <w:pStyle w:val="TableParagraph"/>
              <w:ind w:left="192"/>
              <w:rPr>
                <w:sz w:val="20"/>
              </w:rPr>
            </w:pPr>
            <w:r>
              <w:rPr>
                <w:sz w:val="20"/>
              </w:rPr>
              <w:t>备注</w:t>
            </w:r>
          </w:p>
        </w:tc>
        <w:tc>
          <w:tcPr>
            <w:tcW w:w="1134" w:type="dxa"/>
          </w:tcPr>
          <w:p>
            <w:pPr>
              <w:pStyle w:val="TableParagraph"/>
              <w:spacing w:before="9"/>
              <w:rPr>
                <w:sz w:val="19"/>
              </w:rPr>
            </w:pPr>
          </w:p>
          <w:p>
            <w:pPr>
              <w:pStyle w:val="TableParagraph"/>
              <w:spacing w:line="367" w:lineRule="auto"/>
              <w:ind w:left="202" w:right="165" w:hanging="154"/>
              <w:rPr>
                <w:sz w:val="20"/>
              </w:rPr>
            </w:pPr>
            <w:r>
              <w:rPr>
                <w:sz w:val="20"/>
              </w:rPr>
              <w:t>投标 人代表签名</w:t>
            </w:r>
          </w:p>
        </w:tc>
      </w:tr>
      <w:tr>
        <w:trPr>
          <w:trHeight w:val="512" w:hRule="atLeast"/>
        </w:trPr>
        <w:tc>
          <w:tcPr>
            <w:tcW w:w="743" w:type="dxa"/>
          </w:tcPr>
          <w:p>
            <w:pPr>
              <w:pStyle w:val="TableParagraph"/>
              <w:rPr>
                <w:rFonts w:ascii="Times New Roman"/>
                <w:sz w:val="20"/>
              </w:rPr>
            </w:pPr>
          </w:p>
        </w:tc>
        <w:tc>
          <w:tcPr>
            <w:tcW w:w="1161" w:type="dxa"/>
          </w:tcPr>
          <w:p>
            <w:pPr>
              <w:pStyle w:val="TableParagraph"/>
              <w:rPr>
                <w:rFonts w:ascii="Times New Roman"/>
                <w:sz w:val="20"/>
              </w:rPr>
            </w:pPr>
          </w:p>
        </w:tc>
        <w:tc>
          <w:tcPr>
            <w:tcW w:w="1129" w:type="dxa"/>
          </w:tcPr>
          <w:p>
            <w:pPr>
              <w:pStyle w:val="TableParagraph"/>
              <w:rPr>
                <w:rFonts w:ascii="Times New Roman"/>
                <w:sz w:val="20"/>
              </w:rPr>
            </w:pPr>
          </w:p>
        </w:tc>
        <w:tc>
          <w:tcPr>
            <w:tcW w:w="1132" w:type="dxa"/>
          </w:tcPr>
          <w:p>
            <w:pPr>
              <w:pStyle w:val="TableParagraph"/>
              <w:rPr>
                <w:rFonts w:ascii="Times New Roman"/>
                <w:sz w:val="20"/>
              </w:rPr>
            </w:pPr>
          </w:p>
        </w:tc>
        <w:tc>
          <w:tcPr>
            <w:tcW w:w="1290" w:type="dxa"/>
          </w:tcPr>
          <w:p>
            <w:pPr>
              <w:pStyle w:val="TableParagraph"/>
              <w:rPr>
                <w:rFonts w:ascii="Times New Roman"/>
                <w:sz w:val="20"/>
              </w:rPr>
            </w:pPr>
          </w:p>
        </w:tc>
        <w:tc>
          <w:tcPr>
            <w:tcW w:w="971" w:type="dxa"/>
          </w:tcPr>
          <w:p>
            <w:pPr>
              <w:pStyle w:val="TableParagraph"/>
              <w:rPr>
                <w:rFonts w:ascii="Times New Roman"/>
                <w:sz w:val="20"/>
              </w:rPr>
            </w:pPr>
          </w:p>
        </w:tc>
        <w:tc>
          <w:tcPr>
            <w:tcW w:w="1128" w:type="dxa"/>
          </w:tcPr>
          <w:p>
            <w:pPr>
              <w:pStyle w:val="TableParagraph"/>
              <w:rPr>
                <w:rFonts w:ascii="Times New Roman"/>
                <w:sz w:val="20"/>
              </w:rPr>
            </w:pPr>
          </w:p>
        </w:tc>
        <w:tc>
          <w:tcPr>
            <w:tcW w:w="808" w:type="dxa"/>
          </w:tcPr>
          <w:p>
            <w:pPr>
              <w:pStyle w:val="TableParagraph"/>
              <w:rPr>
                <w:rFonts w:ascii="Times New Roman"/>
                <w:sz w:val="20"/>
              </w:rPr>
            </w:pPr>
          </w:p>
        </w:tc>
        <w:tc>
          <w:tcPr>
            <w:tcW w:w="1134" w:type="dxa"/>
          </w:tcPr>
          <w:p>
            <w:pPr>
              <w:pStyle w:val="TableParagraph"/>
              <w:rPr>
                <w:rFonts w:ascii="Times New Roman"/>
                <w:sz w:val="20"/>
              </w:rPr>
            </w:pPr>
          </w:p>
        </w:tc>
      </w:tr>
      <w:tr>
        <w:trPr>
          <w:trHeight w:val="512" w:hRule="atLeast"/>
        </w:trPr>
        <w:tc>
          <w:tcPr>
            <w:tcW w:w="743" w:type="dxa"/>
          </w:tcPr>
          <w:p>
            <w:pPr>
              <w:pStyle w:val="TableParagraph"/>
              <w:rPr>
                <w:rFonts w:ascii="Times New Roman"/>
                <w:sz w:val="20"/>
              </w:rPr>
            </w:pPr>
          </w:p>
        </w:tc>
        <w:tc>
          <w:tcPr>
            <w:tcW w:w="1161" w:type="dxa"/>
          </w:tcPr>
          <w:p>
            <w:pPr>
              <w:pStyle w:val="TableParagraph"/>
              <w:rPr>
                <w:rFonts w:ascii="Times New Roman"/>
                <w:sz w:val="20"/>
              </w:rPr>
            </w:pPr>
          </w:p>
        </w:tc>
        <w:tc>
          <w:tcPr>
            <w:tcW w:w="1129" w:type="dxa"/>
          </w:tcPr>
          <w:p>
            <w:pPr>
              <w:pStyle w:val="TableParagraph"/>
              <w:rPr>
                <w:rFonts w:ascii="Times New Roman"/>
                <w:sz w:val="20"/>
              </w:rPr>
            </w:pPr>
          </w:p>
        </w:tc>
        <w:tc>
          <w:tcPr>
            <w:tcW w:w="1132" w:type="dxa"/>
          </w:tcPr>
          <w:p>
            <w:pPr>
              <w:pStyle w:val="TableParagraph"/>
              <w:rPr>
                <w:rFonts w:ascii="Times New Roman"/>
                <w:sz w:val="20"/>
              </w:rPr>
            </w:pPr>
          </w:p>
        </w:tc>
        <w:tc>
          <w:tcPr>
            <w:tcW w:w="1290" w:type="dxa"/>
          </w:tcPr>
          <w:p>
            <w:pPr>
              <w:pStyle w:val="TableParagraph"/>
              <w:rPr>
                <w:rFonts w:ascii="Times New Roman"/>
                <w:sz w:val="20"/>
              </w:rPr>
            </w:pPr>
          </w:p>
        </w:tc>
        <w:tc>
          <w:tcPr>
            <w:tcW w:w="971" w:type="dxa"/>
          </w:tcPr>
          <w:p>
            <w:pPr>
              <w:pStyle w:val="TableParagraph"/>
              <w:rPr>
                <w:rFonts w:ascii="Times New Roman"/>
                <w:sz w:val="20"/>
              </w:rPr>
            </w:pPr>
          </w:p>
        </w:tc>
        <w:tc>
          <w:tcPr>
            <w:tcW w:w="1128" w:type="dxa"/>
          </w:tcPr>
          <w:p>
            <w:pPr>
              <w:pStyle w:val="TableParagraph"/>
              <w:rPr>
                <w:rFonts w:ascii="Times New Roman"/>
                <w:sz w:val="20"/>
              </w:rPr>
            </w:pPr>
          </w:p>
        </w:tc>
        <w:tc>
          <w:tcPr>
            <w:tcW w:w="808" w:type="dxa"/>
          </w:tcPr>
          <w:p>
            <w:pPr>
              <w:pStyle w:val="TableParagraph"/>
              <w:rPr>
                <w:rFonts w:ascii="Times New Roman"/>
                <w:sz w:val="20"/>
              </w:rPr>
            </w:pPr>
          </w:p>
        </w:tc>
        <w:tc>
          <w:tcPr>
            <w:tcW w:w="1134" w:type="dxa"/>
          </w:tcPr>
          <w:p>
            <w:pPr>
              <w:pStyle w:val="TableParagraph"/>
              <w:rPr>
                <w:rFonts w:ascii="Times New Roman"/>
                <w:sz w:val="20"/>
              </w:rPr>
            </w:pPr>
          </w:p>
        </w:tc>
      </w:tr>
      <w:tr>
        <w:trPr>
          <w:trHeight w:val="513" w:hRule="atLeast"/>
        </w:trPr>
        <w:tc>
          <w:tcPr>
            <w:tcW w:w="743" w:type="dxa"/>
          </w:tcPr>
          <w:p>
            <w:pPr>
              <w:pStyle w:val="TableParagraph"/>
              <w:rPr>
                <w:rFonts w:ascii="Times New Roman"/>
                <w:sz w:val="20"/>
              </w:rPr>
            </w:pPr>
          </w:p>
        </w:tc>
        <w:tc>
          <w:tcPr>
            <w:tcW w:w="1161" w:type="dxa"/>
          </w:tcPr>
          <w:p>
            <w:pPr>
              <w:pStyle w:val="TableParagraph"/>
              <w:rPr>
                <w:rFonts w:ascii="Times New Roman"/>
                <w:sz w:val="20"/>
              </w:rPr>
            </w:pPr>
          </w:p>
        </w:tc>
        <w:tc>
          <w:tcPr>
            <w:tcW w:w="1129" w:type="dxa"/>
          </w:tcPr>
          <w:p>
            <w:pPr>
              <w:pStyle w:val="TableParagraph"/>
              <w:rPr>
                <w:rFonts w:ascii="Times New Roman"/>
                <w:sz w:val="20"/>
              </w:rPr>
            </w:pPr>
          </w:p>
        </w:tc>
        <w:tc>
          <w:tcPr>
            <w:tcW w:w="1132" w:type="dxa"/>
          </w:tcPr>
          <w:p>
            <w:pPr>
              <w:pStyle w:val="TableParagraph"/>
              <w:rPr>
                <w:rFonts w:ascii="Times New Roman"/>
                <w:sz w:val="20"/>
              </w:rPr>
            </w:pPr>
          </w:p>
        </w:tc>
        <w:tc>
          <w:tcPr>
            <w:tcW w:w="1290" w:type="dxa"/>
          </w:tcPr>
          <w:p>
            <w:pPr>
              <w:pStyle w:val="TableParagraph"/>
              <w:rPr>
                <w:rFonts w:ascii="Times New Roman"/>
                <w:sz w:val="20"/>
              </w:rPr>
            </w:pPr>
          </w:p>
        </w:tc>
        <w:tc>
          <w:tcPr>
            <w:tcW w:w="971" w:type="dxa"/>
          </w:tcPr>
          <w:p>
            <w:pPr>
              <w:pStyle w:val="TableParagraph"/>
              <w:rPr>
                <w:rFonts w:ascii="Times New Roman"/>
                <w:sz w:val="20"/>
              </w:rPr>
            </w:pPr>
          </w:p>
        </w:tc>
        <w:tc>
          <w:tcPr>
            <w:tcW w:w="1128" w:type="dxa"/>
          </w:tcPr>
          <w:p>
            <w:pPr>
              <w:pStyle w:val="TableParagraph"/>
              <w:rPr>
                <w:rFonts w:ascii="Times New Roman"/>
                <w:sz w:val="20"/>
              </w:rPr>
            </w:pPr>
          </w:p>
        </w:tc>
        <w:tc>
          <w:tcPr>
            <w:tcW w:w="808" w:type="dxa"/>
          </w:tcPr>
          <w:p>
            <w:pPr>
              <w:pStyle w:val="TableParagraph"/>
              <w:rPr>
                <w:rFonts w:ascii="Times New Roman"/>
                <w:sz w:val="20"/>
              </w:rPr>
            </w:pPr>
          </w:p>
        </w:tc>
        <w:tc>
          <w:tcPr>
            <w:tcW w:w="1134" w:type="dxa"/>
          </w:tcPr>
          <w:p>
            <w:pPr>
              <w:pStyle w:val="TableParagraph"/>
              <w:rPr>
                <w:rFonts w:ascii="Times New Roman"/>
                <w:sz w:val="20"/>
              </w:rPr>
            </w:pPr>
          </w:p>
        </w:tc>
      </w:tr>
      <w:tr>
        <w:trPr>
          <w:trHeight w:val="512" w:hRule="atLeast"/>
        </w:trPr>
        <w:tc>
          <w:tcPr>
            <w:tcW w:w="743" w:type="dxa"/>
          </w:tcPr>
          <w:p>
            <w:pPr>
              <w:pStyle w:val="TableParagraph"/>
              <w:rPr>
                <w:rFonts w:ascii="Times New Roman"/>
                <w:sz w:val="20"/>
              </w:rPr>
            </w:pPr>
          </w:p>
        </w:tc>
        <w:tc>
          <w:tcPr>
            <w:tcW w:w="1161" w:type="dxa"/>
          </w:tcPr>
          <w:p>
            <w:pPr>
              <w:pStyle w:val="TableParagraph"/>
              <w:rPr>
                <w:rFonts w:ascii="Times New Roman"/>
                <w:sz w:val="20"/>
              </w:rPr>
            </w:pPr>
          </w:p>
        </w:tc>
        <w:tc>
          <w:tcPr>
            <w:tcW w:w="1129" w:type="dxa"/>
          </w:tcPr>
          <w:p>
            <w:pPr>
              <w:pStyle w:val="TableParagraph"/>
              <w:rPr>
                <w:rFonts w:ascii="Times New Roman"/>
                <w:sz w:val="20"/>
              </w:rPr>
            </w:pPr>
          </w:p>
        </w:tc>
        <w:tc>
          <w:tcPr>
            <w:tcW w:w="1132" w:type="dxa"/>
          </w:tcPr>
          <w:p>
            <w:pPr>
              <w:pStyle w:val="TableParagraph"/>
              <w:rPr>
                <w:rFonts w:ascii="Times New Roman"/>
                <w:sz w:val="20"/>
              </w:rPr>
            </w:pPr>
          </w:p>
        </w:tc>
        <w:tc>
          <w:tcPr>
            <w:tcW w:w="1290" w:type="dxa"/>
          </w:tcPr>
          <w:p>
            <w:pPr>
              <w:pStyle w:val="TableParagraph"/>
              <w:rPr>
                <w:rFonts w:ascii="Times New Roman"/>
                <w:sz w:val="20"/>
              </w:rPr>
            </w:pPr>
          </w:p>
        </w:tc>
        <w:tc>
          <w:tcPr>
            <w:tcW w:w="971" w:type="dxa"/>
          </w:tcPr>
          <w:p>
            <w:pPr>
              <w:pStyle w:val="TableParagraph"/>
              <w:rPr>
                <w:rFonts w:ascii="Times New Roman"/>
                <w:sz w:val="20"/>
              </w:rPr>
            </w:pPr>
          </w:p>
        </w:tc>
        <w:tc>
          <w:tcPr>
            <w:tcW w:w="1128" w:type="dxa"/>
          </w:tcPr>
          <w:p>
            <w:pPr>
              <w:pStyle w:val="TableParagraph"/>
              <w:rPr>
                <w:rFonts w:ascii="Times New Roman"/>
                <w:sz w:val="20"/>
              </w:rPr>
            </w:pPr>
          </w:p>
        </w:tc>
        <w:tc>
          <w:tcPr>
            <w:tcW w:w="808" w:type="dxa"/>
          </w:tcPr>
          <w:p>
            <w:pPr>
              <w:pStyle w:val="TableParagraph"/>
              <w:rPr>
                <w:rFonts w:ascii="Times New Roman"/>
                <w:sz w:val="20"/>
              </w:rPr>
            </w:pPr>
          </w:p>
        </w:tc>
        <w:tc>
          <w:tcPr>
            <w:tcW w:w="1134" w:type="dxa"/>
          </w:tcPr>
          <w:p>
            <w:pPr>
              <w:pStyle w:val="TableParagraph"/>
              <w:rPr>
                <w:rFonts w:ascii="Times New Roman"/>
                <w:sz w:val="20"/>
              </w:rPr>
            </w:pPr>
          </w:p>
        </w:tc>
      </w:tr>
      <w:tr>
        <w:trPr>
          <w:trHeight w:val="513" w:hRule="atLeast"/>
        </w:trPr>
        <w:tc>
          <w:tcPr>
            <w:tcW w:w="743" w:type="dxa"/>
          </w:tcPr>
          <w:p>
            <w:pPr>
              <w:pStyle w:val="TableParagraph"/>
              <w:rPr>
                <w:rFonts w:ascii="Times New Roman"/>
                <w:sz w:val="20"/>
              </w:rPr>
            </w:pPr>
          </w:p>
        </w:tc>
        <w:tc>
          <w:tcPr>
            <w:tcW w:w="1161" w:type="dxa"/>
          </w:tcPr>
          <w:p>
            <w:pPr>
              <w:pStyle w:val="TableParagraph"/>
              <w:rPr>
                <w:rFonts w:ascii="Times New Roman"/>
                <w:sz w:val="20"/>
              </w:rPr>
            </w:pPr>
          </w:p>
        </w:tc>
        <w:tc>
          <w:tcPr>
            <w:tcW w:w="1129" w:type="dxa"/>
          </w:tcPr>
          <w:p>
            <w:pPr>
              <w:pStyle w:val="TableParagraph"/>
              <w:rPr>
                <w:rFonts w:ascii="Times New Roman"/>
                <w:sz w:val="20"/>
              </w:rPr>
            </w:pPr>
          </w:p>
        </w:tc>
        <w:tc>
          <w:tcPr>
            <w:tcW w:w="1132" w:type="dxa"/>
          </w:tcPr>
          <w:p>
            <w:pPr>
              <w:pStyle w:val="TableParagraph"/>
              <w:rPr>
                <w:rFonts w:ascii="Times New Roman"/>
                <w:sz w:val="20"/>
              </w:rPr>
            </w:pPr>
          </w:p>
        </w:tc>
        <w:tc>
          <w:tcPr>
            <w:tcW w:w="1290" w:type="dxa"/>
          </w:tcPr>
          <w:p>
            <w:pPr>
              <w:pStyle w:val="TableParagraph"/>
              <w:rPr>
                <w:rFonts w:ascii="Times New Roman"/>
                <w:sz w:val="20"/>
              </w:rPr>
            </w:pPr>
          </w:p>
        </w:tc>
        <w:tc>
          <w:tcPr>
            <w:tcW w:w="971" w:type="dxa"/>
          </w:tcPr>
          <w:p>
            <w:pPr>
              <w:pStyle w:val="TableParagraph"/>
              <w:rPr>
                <w:rFonts w:ascii="Times New Roman"/>
                <w:sz w:val="20"/>
              </w:rPr>
            </w:pPr>
          </w:p>
        </w:tc>
        <w:tc>
          <w:tcPr>
            <w:tcW w:w="1128" w:type="dxa"/>
          </w:tcPr>
          <w:p>
            <w:pPr>
              <w:pStyle w:val="TableParagraph"/>
              <w:rPr>
                <w:rFonts w:ascii="Times New Roman"/>
                <w:sz w:val="20"/>
              </w:rPr>
            </w:pPr>
          </w:p>
        </w:tc>
        <w:tc>
          <w:tcPr>
            <w:tcW w:w="808" w:type="dxa"/>
          </w:tcPr>
          <w:p>
            <w:pPr>
              <w:pStyle w:val="TableParagraph"/>
              <w:rPr>
                <w:rFonts w:ascii="Times New Roman"/>
                <w:sz w:val="20"/>
              </w:rPr>
            </w:pPr>
          </w:p>
        </w:tc>
        <w:tc>
          <w:tcPr>
            <w:tcW w:w="1134" w:type="dxa"/>
          </w:tcPr>
          <w:p>
            <w:pPr>
              <w:pStyle w:val="TableParagraph"/>
              <w:rPr>
                <w:rFonts w:ascii="Times New Roman"/>
                <w:sz w:val="20"/>
              </w:rPr>
            </w:pPr>
          </w:p>
        </w:tc>
      </w:tr>
      <w:tr>
        <w:trPr>
          <w:trHeight w:val="513" w:hRule="atLeast"/>
        </w:trPr>
        <w:tc>
          <w:tcPr>
            <w:tcW w:w="743" w:type="dxa"/>
          </w:tcPr>
          <w:p>
            <w:pPr>
              <w:pStyle w:val="TableParagraph"/>
              <w:rPr>
                <w:rFonts w:ascii="Times New Roman"/>
                <w:sz w:val="20"/>
              </w:rPr>
            </w:pPr>
          </w:p>
        </w:tc>
        <w:tc>
          <w:tcPr>
            <w:tcW w:w="1161" w:type="dxa"/>
          </w:tcPr>
          <w:p>
            <w:pPr>
              <w:pStyle w:val="TableParagraph"/>
              <w:rPr>
                <w:rFonts w:ascii="Times New Roman"/>
                <w:sz w:val="20"/>
              </w:rPr>
            </w:pPr>
          </w:p>
        </w:tc>
        <w:tc>
          <w:tcPr>
            <w:tcW w:w="1129" w:type="dxa"/>
          </w:tcPr>
          <w:p>
            <w:pPr>
              <w:pStyle w:val="TableParagraph"/>
              <w:rPr>
                <w:rFonts w:ascii="Times New Roman"/>
                <w:sz w:val="20"/>
              </w:rPr>
            </w:pPr>
          </w:p>
        </w:tc>
        <w:tc>
          <w:tcPr>
            <w:tcW w:w="1132" w:type="dxa"/>
          </w:tcPr>
          <w:p>
            <w:pPr>
              <w:pStyle w:val="TableParagraph"/>
              <w:rPr>
                <w:rFonts w:ascii="Times New Roman"/>
                <w:sz w:val="20"/>
              </w:rPr>
            </w:pPr>
          </w:p>
        </w:tc>
        <w:tc>
          <w:tcPr>
            <w:tcW w:w="1290" w:type="dxa"/>
          </w:tcPr>
          <w:p>
            <w:pPr>
              <w:pStyle w:val="TableParagraph"/>
              <w:rPr>
                <w:rFonts w:ascii="Times New Roman"/>
                <w:sz w:val="20"/>
              </w:rPr>
            </w:pPr>
          </w:p>
        </w:tc>
        <w:tc>
          <w:tcPr>
            <w:tcW w:w="971" w:type="dxa"/>
          </w:tcPr>
          <w:p>
            <w:pPr>
              <w:pStyle w:val="TableParagraph"/>
              <w:rPr>
                <w:rFonts w:ascii="Times New Roman"/>
                <w:sz w:val="20"/>
              </w:rPr>
            </w:pPr>
          </w:p>
        </w:tc>
        <w:tc>
          <w:tcPr>
            <w:tcW w:w="1128" w:type="dxa"/>
          </w:tcPr>
          <w:p>
            <w:pPr>
              <w:pStyle w:val="TableParagraph"/>
              <w:rPr>
                <w:rFonts w:ascii="Times New Roman"/>
                <w:sz w:val="20"/>
              </w:rPr>
            </w:pPr>
          </w:p>
        </w:tc>
        <w:tc>
          <w:tcPr>
            <w:tcW w:w="808" w:type="dxa"/>
          </w:tcPr>
          <w:p>
            <w:pPr>
              <w:pStyle w:val="TableParagraph"/>
              <w:rPr>
                <w:rFonts w:ascii="Times New Roman"/>
                <w:sz w:val="20"/>
              </w:rPr>
            </w:pPr>
          </w:p>
        </w:tc>
        <w:tc>
          <w:tcPr>
            <w:tcW w:w="1134" w:type="dxa"/>
          </w:tcPr>
          <w:p>
            <w:pPr>
              <w:pStyle w:val="TableParagraph"/>
              <w:rPr>
                <w:rFonts w:ascii="Times New Roman"/>
                <w:sz w:val="20"/>
              </w:rPr>
            </w:pPr>
          </w:p>
        </w:tc>
      </w:tr>
      <w:tr>
        <w:trPr>
          <w:trHeight w:val="512" w:hRule="atLeast"/>
        </w:trPr>
        <w:tc>
          <w:tcPr>
            <w:tcW w:w="743" w:type="dxa"/>
          </w:tcPr>
          <w:p>
            <w:pPr>
              <w:pStyle w:val="TableParagraph"/>
              <w:rPr>
                <w:rFonts w:ascii="Times New Roman"/>
                <w:sz w:val="20"/>
              </w:rPr>
            </w:pPr>
          </w:p>
        </w:tc>
        <w:tc>
          <w:tcPr>
            <w:tcW w:w="1161" w:type="dxa"/>
          </w:tcPr>
          <w:p>
            <w:pPr>
              <w:pStyle w:val="TableParagraph"/>
              <w:rPr>
                <w:rFonts w:ascii="Times New Roman"/>
                <w:sz w:val="20"/>
              </w:rPr>
            </w:pPr>
          </w:p>
        </w:tc>
        <w:tc>
          <w:tcPr>
            <w:tcW w:w="1129" w:type="dxa"/>
          </w:tcPr>
          <w:p>
            <w:pPr>
              <w:pStyle w:val="TableParagraph"/>
              <w:rPr>
                <w:rFonts w:ascii="Times New Roman"/>
                <w:sz w:val="20"/>
              </w:rPr>
            </w:pPr>
          </w:p>
        </w:tc>
        <w:tc>
          <w:tcPr>
            <w:tcW w:w="1132" w:type="dxa"/>
          </w:tcPr>
          <w:p>
            <w:pPr>
              <w:pStyle w:val="TableParagraph"/>
              <w:rPr>
                <w:rFonts w:ascii="Times New Roman"/>
                <w:sz w:val="20"/>
              </w:rPr>
            </w:pPr>
          </w:p>
        </w:tc>
        <w:tc>
          <w:tcPr>
            <w:tcW w:w="1290" w:type="dxa"/>
          </w:tcPr>
          <w:p>
            <w:pPr>
              <w:pStyle w:val="TableParagraph"/>
              <w:rPr>
                <w:rFonts w:ascii="Times New Roman"/>
                <w:sz w:val="20"/>
              </w:rPr>
            </w:pPr>
          </w:p>
        </w:tc>
        <w:tc>
          <w:tcPr>
            <w:tcW w:w="971" w:type="dxa"/>
          </w:tcPr>
          <w:p>
            <w:pPr>
              <w:pStyle w:val="TableParagraph"/>
              <w:rPr>
                <w:rFonts w:ascii="Times New Roman"/>
                <w:sz w:val="20"/>
              </w:rPr>
            </w:pPr>
          </w:p>
        </w:tc>
        <w:tc>
          <w:tcPr>
            <w:tcW w:w="1128" w:type="dxa"/>
          </w:tcPr>
          <w:p>
            <w:pPr>
              <w:pStyle w:val="TableParagraph"/>
              <w:rPr>
                <w:rFonts w:ascii="Times New Roman"/>
                <w:sz w:val="20"/>
              </w:rPr>
            </w:pPr>
          </w:p>
        </w:tc>
        <w:tc>
          <w:tcPr>
            <w:tcW w:w="808" w:type="dxa"/>
          </w:tcPr>
          <w:p>
            <w:pPr>
              <w:pStyle w:val="TableParagraph"/>
              <w:rPr>
                <w:rFonts w:ascii="Times New Roman"/>
                <w:sz w:val="20"/>
              </w:rPr>
            </w:pPr>
          </w:p>
        </w:tc>
        <w:tc>
          <w:tcPr>
            <w:tcW w:w="1134" w:type="dxa"/>
          </w:tcPr>
          <w:p>
            <w:pPr>
              <w:pStyle w:val="TableParagraph"/>
              <w:rPr>
                <w:rFonts w:ascii="Times New Roman"/>
                <w:sz w:val="20"/>
              </w:rPr>
            </w:pPr>
          </w:p>
        </w:tc>
      </w:tr>
      <w:tr>
        <w:trPr>
          <w:trHeight w:val="513" w:hRule="atLeast"/>
        </w:trPr>
        <w:tc>
          <w:tcPr>
            <w:tcW w:w="743" w:type="dxa"/>
          </w:tcPr>
          <w:p>
            <w:pPr>
              <w:pStyle w:val="TableParagraph"/>
              <w:rPr>
                <w:rFonts w:ascii="Times New Roman"/>
                <w:sz w:val="20"/>
              </w:rPr>
            </w:pPr>
          </w:p>
        </w:tc>
        <w:tc>
          <w:tcPr>
            <w:tcW w:w="1161" w:type="dxa"/>
          </w:tcPr>
          <w:p>
            <w:pPr>
              <w:pStyle w:val="TableParagraph"/>
              <w:rPr>
                <w:rFonts w:ascii="Times New Roman"/>
                <w:sz w:val="20"/>
              </w:rPr>
            </w:pPr>
          </w:p>
        </w:tc>
        <w:tc>
          <w:tcPr>
            <w:tcW w:w="1129" w:type="dxa"/>
          </w:tcPr>
          <w:p>
            <w:pPr>
              <w:pStyle w:val="TableParagraph"/>
              <w:rPr>
                <w:rFonts w:ascii="Times New Roman"/>
                <w:sz w:val="20"/>
              </w:rPr>
            </w:pPr>
          </w:p>
        </w:tc>
        <w:tc>
          <w:tcPr>
            <w:tcW w:w="1132" w:type="dxa"/>
          </w:tcPr>
          <w:p>
            <w:pPr>
              <w:pStyle w:val="TableParagraph"/>
              <w:rPr>
                <w:rFonts w:ascii="Times New Roman"/>
                <w:sz w:val="20"/>
              </w:rPr>
            </w:pPr>
          </w:p>
        </w:tc>
        <w:tc>
          <w:tcPr>
            <w:tcW w:w="1290" w:type="dxa"/>
          </w:tcPr>
          <w:p>
            <w:pPr>
              <w:pStyle w:val="TableParagraph"/>
              <w:rPr>
                <w:rFonts w:ascii="Times New Roman"/>
                <w:sz w:val="20"/>
              </w:rPr>
            </w:pPr>
          </w:p>
        </w:tc>
        <w:tc>
          <w:tcPr>
            <w:tcW w:w="971" w:type="dxa"/>
          </w:tcPr>
          <w:p>
            <w:pPr>
              <w:pStyle w:val="TableParagraph"/>
              <w:rPr>
                <w:rFonts w:ascii="Times New Roman"/>
                <w:sz w:val="20"/>
              </w:rPr>
            </w:pPr>
          </w:p>
        </w:tc>
        <w:tc>
          <w:tcPr>
            <w:tcW w:w="1128" w:type="dxa"/>
          </w:tcPr>
          <w:p>
            <w:pPr>
              <w:pStyle w:val="TableParagraph"/>
              <w:rPr>
                <w:rFonts w:ascii="Times New Roman"/>
                <w:sz w:val="20"/>
              </w:rPr>
            </w:pPr>
          </w:p>
        </w:tc>
        <w:tc>
          <w:tcPr>
            <w:tcW w:w="808" w:type="dxa"/>
          </w:tcPr>
          <w:p>
            <w:pPr>
              <w:pStyle w:val="TableParagraph"/>
              <w:rPr>
                <w:rFonts w:ascii="Times New Roman"/>
                <w:sz w:val="20"/>
              </w:rPr>
            </w:pPr>
          </w:p>
        </w:tc>
        <w:tc>
          <w:tcPr>
            <w:tcW w:w="1134" w:type="dxa"/>
          </w:tcPr>
          <w:p>
            <w:pPr>
              <w:pStyle w:val="TableParagraph"/>
              <w:rPr>
                <w:rFonts w:ascii="Times New Roman"/>
                <w:sz w:val="20"/>
              </w:rPr>
            </w:pPr>
          </w:p>
        </w:tc>
      </w:tr>
      <w:tr>
        <w:trPr>
          <w:trHeight w:val="514" w:hRule="atLeast"/>
        </w:trPr>
        <w:tc>
          <w:tcPr>
            <w:tcW w:w="743" w:type="dxa"/>
          </w:tcPr>
          <w:p>
            <w:pPr>
              <w:pStyle w:val="TableParagraph"/>
              <w:rPr>
                <w:rFonts w:ascii="Times New Roman"/>
                <w:sz w:val="20"/>
              </w:rPr>
            </w:pPr>
          </w:p>
        </w:tc>
        <w:tc>
          <w:tcPr>
            <w:tcW w:w="1161" w:type="dxa"/>
          </w:tcPr>
          <w:p>
            <w:pPr>
              <w:pStyle w:val="TableParagraph"/>
              <w:rPr>
                <w:rFonts w:ascii="Times New Roman"/>
                <w:sz w:val="20"/>
              </w:rPr>
            </w:pPr>
          </w:p>
        </w:tc>
        <w:tc>
          <w:tcPr>
            <w:tcW w:w="1129" w:type="dxa"/>
          </w:tcPr>
          <w:p>
            <w:pPr>
              <w:pStyle w:val="TableParagraph"/>
              <w:rPr>
                <w:rFonts w:ascii="Times New Roman"/>
                <w:sz w:val="20"/>
              </w:rPr>
            </w:pPr>
          </w:p>
        </w:tc>
        <w:tc>
          <w:tcPr>
            <w:tcW w:w="1132" w:type="dxa"/>
          </w:tcPr>
          <w:p>
            <w:pPr>
              <w:pStyle w:val="TableParagraph"/>
              <w:rPr>
                <w:rFonts w:ascii="Times New Roman"/>
                <w:sz w:val="20"/>
              </w:rPr>
            </w:pPr>
          </w:p>
        </w:tc>
        <w:tc>
          <w:tcPr>
            <w:tcW w:w="1290" w:type="dxa"/>
          </w:tcPr>
          <w:p>
            <w:pPr>
              <w:pStyle w:val="TableParagraph"/>
              <w:rPr>
                <w:rFonts w:ascii="Times New Roman"/>
                <w:sz w:val="20"/>
              </w:rPr>
            </w:pPr>
          </w:p>
        </w:tc>
        <w:tc>
          <w:tcPr>
            <w:tcW w:w="971" w:type="dxa"/>
          </w:tcPr>
          <w:p>
            <w:pPr>
              <w:pStyle w:val="TableParagraph"/>
              <w:rPr>
                <w:rFonts w:ascii="Times New Roman"/>
                <w:sz w:val="20"/>
              </w:rPr>
            </w:pPr>
          </w:p>
        </w:tc>
        <w:tc>
          <w:tcPr>
            <w:tcW w:w="1128" w:type="dxa"/>
          </w:tcPr>
          <w:p>
            <w:pPr>
              <w:pStyle w:val="TableParagraph"/>
              <w:rPr>
                <w:rFonts w:ascii="Times New Roman"/>
                <w:sz w:val="20"/>
              </w:rPr>
            </w:pPr>
          </w:p>
        </w:tc>
        <w:tc>
          <w:tcPr>
            <w:tcW w:w="808" w:type="dxa"/>
          </w:tcPr>
          <w:p>
            <w:pPr>
              <w:pStyle w:val="TableParagraph"/>
              <w:rPr>
                <w:rFonts w:ascii="Times New Roman"/>
                <w:sz w:val="20"/>
              </w:rPr>
            </w:pPr>
          </w:p>
        </w:tc>
        <w:tc>
          <w:tcPr>
            <w:tcW w:w="1134" w:type="dxa"/>
          </w:tcPr>
          <w:p>
            <w:pPr>
              <w:pStyle w:val="TableParagraph"/>
              <w:rPr>
                <w:rFonts w:ascii="Times New Roman"/>
                <w:sz w:val="20"/>
              </w:rPr>
            </w:pPr>
          </w:p>
        </w:tc>
      </w:tr>
      <w:tr>
        <w:trPr>
          <w:trHeight w:val="513" w:hRule="atLeast"/>
        </w:trPr>
        <w:tc>
          <w:tcPr>
            <w:tcW w:w="743" w:type="dxa"/>
          </w:tcPr>
          <w:p>
            <w:pPr>
              <w:pStyle w:val="TableParagraph"/>
              <w:rPr>
                <w:rFonts w:ascii="Times New Roman"/>
                <w:sz w:val="20"/>
              </w:rPr>
            </w:pPr>
          </w:p>
        </w:tc>
        <w:tc>
          <w:tcPr>
            <w:tcW w:w="1161" w:type="dxa"/>
          </w:tcPr>
          <w:p>
            <w:pPr>
              <w:pStyle w:val="TableParagraph"/>
              <w:rPr>
                <w:rFonts w:ascii="Times New Roman"/>
                <w:sz w:val="20"/>
              </w:rPr>
            </w:pPr>
          </w:p>
        </w:tc>
        <w:tc>
          <w:tcPr>
            <w:tcW w:w="1129" w:type="dxa"/>
          </w:tcPr>
          <w:p>
            <w:pPr>
              <w:pStyle w:val="TableParagraph"/>
              <w:rPr>
                <w:rFonts w:ascii="Times New Roman"/>
                <w:sz w:val="20"/>
              </w:rPr>
            </w:pPr>
          </w:p>
        </w:tc>
        <w:tc>
          <w:tcPr>
            <w:tcW w:w="1132" w:type="dxa"/>
          </w:tcPr>
          <w:p>
            <w:pPr>
              <w:pStyle w:val="TableParagraph"/>
              <w:rPr>
                <w:rFonts w:ascii="Times New Roman"/>
                <w:sz w:val="20"/>
              </w:rPr>
            </w:pPr>
          </w:p>
        </w:tc>
        <w:tc>
          <w:tcPr>
            <w:tcW w:w="1290" w:type="dxa"/>
          </w:tcPr>
          <w:p>
            <w:pPr>
              <w:pStyle w:val="TableParagraph"/>
              <w:rPr>
                <w:rFonts w:ascii="Times New Roman"/>
                <w:sz w:val="20"/>
              </w:rPr>
            </w:pPr>
          </w:p>
        </w:tc>
        <w:tc>
          <w:tcPr>
            <w:tcW w:w="971" w:type="dxa"/>
          </w:tcPr>
          <w:p>
            <w:pPr>
              <w:pStyle w:val="TableParagraph"/>
              <w:rPr>
                <w:rFonts w:ascii="Times New Roman"/>
                <w:sz w:val="20"/>
              </w:rPr>
            </w:pPr>
          </w:p>
        </w:tc>
        <w:tc>
          <w:tcPr>
            <w:tcW w:w="1128" w:type="dxa"/>
          </w:tcPr>
          <w:p>
            <w:pPr>
              <w:pStyle w:val="TableParagraph"/>
              <w:rPr>
                <w:rFonts w:ascii="Times New Roman"/>
                <w:sz w:val="20"/>
              </w:rPr>
            </w:pPr>
          </w:p>
        </w:tc>
        <w:tc>
          <w:tcPr>
            <w:tcW w:w="808" w:type="dxa"/>
          </w:tcPr>
          <w:p>
            <w:pPr>
              <w:pStyle w:val="TableParagraph"/>
              <w:rPr>
                <w:rFonts w:ascii="Times New Roman"/>
                <w:sz w:val="20"/>
              </w:rPr>
            </w:pPr>
          </w:p>
        </w:tc>
        <w:tc>
          <w:tcPr>
            <w:tcW w:w="1134" w:type="dxa"/>
          </w:tcPr>
          <w:p>
            <w:pPr>
              <w:pStyle w:val="TableParagraph"/>
              <w:rPr>
                <w:rFonts w:ascii="Times New Roman"/>
                <w:sz w:val="20"/>
              </w:rPr>
            </w:pPr>
          </w:p>
        </w:tc>
      </w:tr>
      <w:tr>
        <w:trPr>
          <w:trHeight w:val="512" w:hRule="atLeast"/>
        </w:trPr>
        <w:tc>
          <w:tcPr>
            <w:tcW w:w="743" w:type="dxa"/>
          </w:tcPr>
          <w:p>
            <w:pPr>
              <w:pStyle w:val="TableParagraph"/>
              <w:rPr>
                <w:rFonts w:ascii="Times New Roman"/>
                <w:sz w:val="20"/>
              </w:rPr>
            </w:pPr>
          </w:p>
        </w:tc>
        <w:tc>
          <w:tcPr>
            <w:tcW w:w="1161" w:type="dxa"/>
          </w:tcPr>
          <w:p>
            <w:pPr>
              <w:pStyle w:val="TableParagraph"/>
              <w:rPr>
                <w:rFonts w:ascii="Times New Roman"/>
                <w:sz w:val="20"/>
              </w:rPr>
            </w:pPr>
          </w:p>
        </w:tc>
        <w:tc>
          <w:tcPr>
            <w:tcW w:w="1129" w:type="dxa"/>
          </w:tcPr>
          <w:p>
            <w:pPr>
              <w:pStyle w:val="TableParagraph"/>
              <w:rPr>
                <w:rFonts w:ascii="Times New Roman"/>
                <w:sz w:val="20"/>
              </w:rPr>
            </w:pPr>
          </w:p>
        </w:tc>
        <w:tc>
          <w:tcPr>
            <w:tcW w:w="1132" w:type="dxa"/>
          </w:tcPr>
          <w:p>
            <w:pPr>
              <w:pStyle w:val="TableParagraph"/>
              <w:rPr>
                <w:rFonts w:ascii="Times New Roman"/>
                <w:sz w:val="20"/>
              </w:rPr>
            </w:pPr>
          </w:p>
        </w:tc>
        <w:tc>
          <w:tcPr>
            <w:tcW w:w="1290" w:type="dxa"/>
          </w:tcPr>
          <w:p>
            <w:pPr>
              <w:pStyle w:val="TableParagraph"/>
              <w:rPr>
                <w:rFonts w:ascii="Times New Roman"/>
                <w:sz w:val="20"/>
              </w:rPr>
            </w:pPr>
          </w:p>
        </w:tc>
        <w:tc>
          <w:tcPr>
            <w:tcW w:w="971" w:type="dxa"/>
          </w:tcPr>
          <w:p>
            <w:pPr>
              <w:pStyle w:val="TableParagraph"/>
              <w:rPr>
                <w:rFonts w:ascii="Times New Roman"/>
                <w:sz w:val="20"/>
              </w:rPr>
            </w:pPr>
          </w:p>
        </w:tc>
        <w:tc>
          <w:tcPr>
            <w:tcW w:w="1128" w:type="dxa"/>
          </w:tcPr>
          <w:p>
            <w:pPr>
              <w:pStyle w:val="TableParagraph"/>
              <w:rPr>
                <w:rFonts w:ascii="Times New Roman"/>
                <w:sz w:val="20"/>
              </w:rPr>
            </w:pPr>
          </w:p>
        </w:tc>
        <w:tc>
          <w:tcPr>
            <w:tcW w:w="808" w:type="dxa"/>
          </w:tcPr>
          <w:p>
            <w:pPr>
              <w:pStyle w:val="TableParagraph"/>
              <w:rPr>
                <w:rFonts w:ascii="Times New Roman"/>
                <w:sz w:val="20"/>
              </w:rPr>
            </w:pPr>
          </w:p>
        </w:tc>
        <w:tc>
          <w:tcPr>
            <w:tcW w:w="1134" w:type="dxa"/>
          </w:tcPr>
          <w:p>
            <w:pPr>
              <w:pStyle w:val="TableParagraph"/>
              <w:rPr>
                <w:rFonts w:ascii="Times New Roman"/>
                <w:sz w:val="20"/>
              </w:rPr>
            </w:pPr>
          </w:p>
        </w:tc>
      </w:tr>
      <w:tr>
        <w:trPr>
          <w:trHeight w:val="586" w:hRule="atLeast"/>
        </w:trPr>
        <w:tc>
          <w:tcPr>
            <w:tcW w:w="3033" w:type="dxa"/>
            <w:gridSpan w:val="3"/>
          </w:tcPr>
          <w:p>
            <w:pPr>
              <w:pStyle w:val="TableParagraph"/>
              <w:spacing w:before="178"/>
              <w:ind w:left="644"/>
              <w:rPr>
                <w:sz w:val="20"/>
              </w:rPr>
            </w:pPr>
            <w:r>
              <w:rPr>
                <w:sz w:val="20"/>
              </w:rPr>
              <w:t>最高投标限价：</w:t>
            </w:r>
          </w:p>
        </w:tc>
        <w:tc>
          <w:tcPr>
            <w:tcW w:w="6463" w:type="dxa"/>
            <w:gridSpan w:val="6"/>
          </w:tcPr>
          <w:p>
            <w:pPr>
              <w:pStyle w:val="TableParagraph"/>
              <w:rPr>
                <w:rFonts w:ascii="Times New Roman"/>
                <w:sz w:val="20"/>
              </w:rPr>
            </w:pPr>
          </w:p>
        </w:tc>
      </w:tr>
    </w:tbl>
    <w:p>
      <w:pPr>
        <w:pStyle w:val="BodyText"/>
      </w:pPr>
    </w:p>
    <w:p>
      <w:pPr>
        <w:pStyle w:val="BodyText"/>
      </w:pPr>
    </w:p>
    <w:p>
      <w:pPr>
        <w:pStyle w:val="BodyText"/>
        <w:spacing w:before="3"/>
        <w:rPr>
          <w:sz w:val="27"/>
        </w:rPr>
      </w:pPr>
    </w:p>
    <w:p>
      <w:pPr>
        <w:pStyle w:val="BodyText"/>
        <w:tabs>
          <w:tab w:pos="2344" w:val="left" w:leader="none"/>
          <w:tab w:pos="3043" w:val="left" w:leader="none"/>
          <w:tab w:pos="4729" w:val="left" w:leader="none"/>
          <w:tab w:pos="5328" w:val="left" w:leader="none"/>
          <w:tab w:pos="7103" w:val="left" w:leader="none"/>
        </w:tabs>
        <w:spacing w:before="77"/>
        <w:ind w:left="665"/>
        <w:rPr>
          <w:rFonts w:ascii="Times New Roman" w:eastAsia="Times New Roman"/>
        </w:rPr>
      </w:pPr>
      <w:r>
        <w:rPr>
          <w:spacing w:val="5"/>
        </w:rPr>
        <w:t>招</w:t>
      </w:r>
      <w:r>
        <w:rPr/>
        <w:t>标</w:t>
      </w:r>
      <w:r>
        <w:rPr>
          <w:spacing w:val="5"/>
        </w:rPr>
        <w:t>人</w:t>
      </w:r>
      <w:r>
        <w:rPr/>
        <w:t>代</w:t>
      </w:r>
      <w:r>
        <w:rPr>
          <w:spacing w:val="5"/>
        </w:rPr>
        <w:t>表</w:t>
      </w:r>
      <w:r>
        <w:rPr/>
        <w:t>：</w:t>
      </w:r>
      <w:r>
        <w:rPr>
          <w:u w:val="single"/>
        </w:rPr>
        <w:t> </w:t>
        <w:tab/>
      </w:r>
      <w:r>
        <w:rPr/>
        <w:tab/>
      </w:r>
      <w:r>
        <w:rPr>
          <w:spacing w:val="5"/>
        </w:rPr>
        <w:t>记</w:t>
      </w:r>
      <w:r>
        <w:rPr/>
        <w:t>录</w:t>
      </w:r>
      <w:r>
        <w:rPr>
          <w:spacing w:val="5"/>
        </w:rPr>
        <w:t>人</w:t>
      </w:r>
      <w:r>
        <w:rPr/>
        <w:t>：</w:t>
      </w:r>
      <w:r>
        <w:rPr>
          <w:u w:val="single"/>
        </w:rPr>
        <w:t> </w:t>
        <w:tab/>
      </w:r>
      <w:r>
        <w:rPr/>
        <w:tab/>
        <w:t>监标人</w:t>
      </w:r>
      <w:r>
        <w:rPr>
          <w:spacing w:val="2"/>
        </w:rPr>
        <w:t>：</w:t>
      </w:r>
      <w:r>
        <w:rPr>
          <w:rFonts w:ascii="Times New Roman" w:eastAsia="Times New Roman"/>
          <w:u w:val="single"/>
        </w:rPr>
        <w:t> </w:t>
        <w:tab/>
      </w:r>
    </w:p>
    <w:p>
      <w:pPr>
        <w:pStyle w:val="BodyText"/>
        <w:rPr>
          <w:rFonts w:ascii="Times New Roman"/>
        </w:rPr>
      </w:pPr>
    </w:p>
    <w:p>
      <w:pPr>
        <w:pStyle w:val="BodyText"/>
        <w:rPr>
          <w:rFonts w:ascii="Times New Roman"/>
        </w:rPr>
      </w:pPr>
    </w:p>
    <w:p>
      <w:pPr>
        <w:pStyle w:val="BodyText"/>
        <w:rPr>
          <w:rFonts w:ascii="Times New Roman"/>
          <w:sz w:val="24"/>
        </w:rPr>
      </w:pPr>
    </w:p>
    <w:p>
      <w:pPr>
        <w:pStyle w:val="BodyText"/>
        <w:tabs>
          <w:tab w:pos="6792" w:val="left" w:leader="none"/>
          <w:tab w:pos="7740" w:val="left" w:leader="none"/>
          <w:tab w:pos="8713" w:val="left" w:leader="none"/>
        </w:tabs>
        <w:spacing w:before="71"/>
        <w:ind w:left="6464"/>
      </w:pPr>
      <w:r>
        <w:rPr>
          <w:rFonts w:ascii="Times New Roman" w:eastAsia="Times New Roman"/>
          <w:w w:val="99"/>
          <w:u w:val="single"/>
        </w:rPr>
        <w:t> </w:t>
      </w:r>
      <w:r>
        <w:rPr>
          <w:rFonts w:ascii="Times New Roman" w:eastAsia="Times New Roman"/>
          <w:u w:val="single"/>
        </w:rPr>
        <w:tab/>
      </w:r>
      <w:r>
        <w:rPr/>
        <w:t>年</w:t>
      </w:r>
      <w:r>
        <w:rPr>
          <w:u w:val="single"/>
        </w:rPr>
        <w:t> </w:t>
        <w:tab/>
      </w:r>
      <w:r>
        <w:rPr>
          <w:spacing w:val="-3"/>
        </w:rPr>
        <w:t>月</w:t>
      </w:r>
      <w:r>
        <w:rPr>
          <w:spacing w:val="-3"/>
          <w:u w:val="single"/>
        </w:rPr>
        <w:t> </w:t>
        <w:tab/>
      </w:r>
      <w:r>
        <w:rPr/>
        <w:t>日</w:t>
      </w:r>
    </w:p>
    <w:p>
      <w:pPr>
        <w:spacing w:after="0"/>
        <w:sectPr>
          <w:pgSz w:w="11910" w:h="16840"/>
          <w:pgMar w:header="0" w:footer="766" w:top="1500" w:bottom="960" w:left="1300" w:right="500"/>
        </w:sectPr>
      </w:pPr>
    </w:p>
    <w:p>
      <w:pPr>
        <w:pStyle w:val="Heading7"/>
        <w:spacing w:before="34"/>
        <w:ind w:left="836"/>
        <w:rPr>
          <w:rFonts w:ascii="宋体" w:eastAsia="宋体" w:hint="eastAsia"/>
        </w:rPr>
      </w:pPr>
      <w:r>
        <w:rPr>
          <w:rFonts w:ascii="宋体" w:eastAsia="宋体" w:hint="eastAsia"/>
        </w:rPr>
        <w:t>附件二：问题澄清通知</w:t>
      </w:r>
    </w:p>
    <w:p>
      <w:pPr>
        <w:pStyle w:val="BodyText"/>
      </w:pPr>
    </w:p>
    <w:p>
      <w:pPr>
        <w:pStyle w:val="BodyText"/>
      </w:pPr>
    </w:p>
    <w:p>
      <w:pPr>
        <w:pStyle w:val="BodyText"/>
        <w:spacing w:before="11"/>
        <w:rPr>
          <w:sz w:val="17"/>
        </w:rPr>
      </w:pPr>
    </w:p>
    <w:p>
      <w:pPr>
        <w:pStyle w:val="Heading7"/>
        <w:spacing w:before="61"/>
        <w:ind w:left="355" w:right="1140"/>
        <w:jc w:val="center"/>
        <w:rPr>
          <w:rFonts w:ascii="宋体" w:eastAsia="宋体" w:hint="eastAsia"/>
        </w:rPr>
      </w:pPr>
      <w:r>
        <w:rPr>
          <w:rFonts w:ascii="宋体" w:eastAsia="宋体" w:hint="eastAsia"/>
        </w:rPr>
        <w:t>问题澄清通知</w:t>
      </w:r>
    </w:p>
    <w:p>
      <w:pPr>
        <w:pStyle w:val="BodyText"/>
        <w:spacing w:before="2"/>
        <w:rPr>
          <w:sz w:val="27"/>
        </w:rPr>
      </w:pPr>
    </w:p>
    <w:p>
      <w:pPr>
        <w:pStyle w:val="BodyText"/>
        <w:tabs>
          <w:tab w:pos="5691" w:val="left" w:leader="none"/>
        </w:tabs>
        <w:ind w:left="3212"/>
      </w:pPr>
      <w:r>
        <w:rPr>
          <w:spacing w:val="5"/>
        </w:rPr>
        <w:t>（</w:t>
      </w:r>
      <w:r>
        <w:rPr/>
        <w:t>编</w:t>
      </w:r>
      <w:r>
        <w:rPr>
          <w:spacing w:val="5"/>
        </w:rPr>
        <w:t>号</w:t>
      </w:r>
      <w:r>
        <w:rPr>
          <w:spacing w:val="5"/>
        </w:rPr>
        <w:t>：</w:t>
      </w:r>
      <w:r>
        <w:rPr>
          <w:spacing w:val="5"/>
          <w:u w:val="single"/>
        </w:rPr>
        <w:t> </w:t>
        <w:tab/>
      </w:r>
      <w:r>
        <w:rPr/>
        <w:t>）</w:t>
      </w:r>
    </w:p>
    <w:p>
      <w:pPr>
        <w:pStyle w:val="BodyText"/>
      </w:pPr>
    </w:p>
    <w:p>
      <w:pPr>
        <w:pStyle w:val="BodyText"/>
      </w:pPr>
    </w:p>
    <w:p>
      <w:pPr>
        <w:pStyle w:val="BodyText"/>
        <w:spacing w:before="12"/>
        <w:rPr>
          <w:sz w:val="28"/>
        </w:rPr>
      </w:pPr>
    </w:p>
    <w:p>
      <w:pPr>
        <w:pStyle w:val="BodyText"/>
        <w:tabs>
          <w:tab w:pos="2309" w:val="left" w:leader="none"/>
        </w:tabs>
        <w:spacing w:before="77"/>
        <w:ind w:left="524"/>
      </w:pPr>
      <w:r>
        <w:rPr>
          <w:rFonts w:ascii="Times New Roman" w:eastAsia="Times New Roman"/>
          <w:w w:val="99"/>
          <w:u w:val="single"/>
        </w:rPr>
        <w:t> </w:t>
      </w:r>
      <w:r>
        <w:rPr>
          <w:rFonts w:ascii="Times New Roman" w:eastAsia="Times New Roman"/>
          <w:u w:val="single"/>
        </w:rPr>
        <w:tab/>
      </w:r>
      <w:r>
        <w:rPr>
          <w:spacing w:val="7"/>
        </w:rPr>
        <w:t>（投标人名称</w:t>
      </w:r>
      <w:r>
        <w:rPr/>
        <w:t>）：</w:t>
      </w:r>
    </w:p>
    <w:p>
      <w:pPr>
        <w:pStyle w:val="BodyText"/>
        <w:rPr>
          <w:sz w:val="22"/>
        </w:rPr>
      </w:pPr>
    </w:p>
    <w:p>
      <w:pPr>
        <w:pStyle w:val="BodyText"/>
        <w:rPr>
          <w:sz w:val="22"/>
        </w:rPr>
      </w:pPr>
    </w:p>
    <w:p>
      <w:pPr>
        <w:pStyle w:val="BodyText"/>
        <w:spacing w:before="10"/>
        <w:rPr>
          <w:sz w:val="22"/>
        </w:rPr>
      </w:pPr>
    </w:p>
    <w:p>
      <w:pPr>
        <w:pStyle w:val="BodyText"/>
        <w:ind w:left="533"/>
      </w:pPr>
      <w:r>
        <w:rPr/>
        <w:t>评标委员会对你方的投标文件进行了仔细的审查，现需你方对下列问题以书面形式予以澄清</w:t>
      </w:r>
    </w:p>
    <w:p>
      <w:pPr>
        <w:pStyle w:val="BodyText"/>
        <w:spacing w:before="137"/>
        <w:ind w:left="115"/>
      </w:pPr>
      <w:r>
        <w:rPr/>
        <w:t>、 说明或补正：</w:t>
      </w:r>
    </w:p>
    <w:p>
      <w:pPr>
        <w:pStyle w:val="BodyText"/>
        <w:spacing w:before="1"/>
        <w:rPr>
          <w:sz w:val="21"/>
        </w:rPr>
      </w:pPr>
    </w:p>
    <w:p>
      <w:pPr>
        <w:pStyle w:val="BodyText"/>
        <w:spacing w:before="1"/>
        <w:ind w:left="972"/>
        <w:rPr>
          <w:rFonts w:ascii="Times New Roman"/>
        </w:rPr>
      </w:pPr>
      <w:r>
        <w:rPr>
          <w:rFonts w:ascii="Times New Roman"/>
        </w:rPr>
        <w:t>1.</w:t>
      </w:r>
    </w:p>
    <w:p>
      <w:pPr>
        <w:pStyle w:val="BodyText"/>
        <w:spacing w:before="9"/>
        <w:rPr>
          <w:rFonts w:ascii="Times New Roman"/>
          <w:sz w:val="28"/>
        </w:rPr>
      </w:pPr>
    </w:p>
    <w:p>
      <w:pPr>
        <w:pStyle w:val="BodyText"/>
        <w:ind w:left="953"/>
        <w:rPr>
          <w:rFonts w:ascii="Times New Roman"/>
        </w:rPr>
      </w:pPr>
      <w:r>
        <w:rPr>
          <w:rFonts w:ascii="Times New Roman"/>
        </w:rPr>
        <w:t>2.</w:t>
      </w:r>
    </w:p>
    <w:p>
      <w:pPr>
        <w:pStyle w:val="BodyText"/>
        <w:rPr>
          <w:rFonts w:ascii="Times New Roman"/>
          <w:sz w:val="22"/>
        </w:rPr>
      </w:pPr>
    </w:p>
    <w:p>
      <w:pPr>
        <w:pStyle w:val="BodyText"/>
        <w:rPr>
          <w:rFonts w:ascii="Times New Roman"/>
          <w:sz w:val="22"/>
        </w:rPr>
      </w:pPr>
    </w:p>
    <w:p>
      <w:pPr>
        <w:pStyle w:val="BodyText"/>
        <w:spacing w:before="169"/>
        <w:ind w:left="1068"/>
        <w:rPr>
          <w:rFonts w:ascii="Times New Roman"/>
        </w:rPr>
      </w:pPr>
      <w:r>
        <w:rPr>
          <w:rFonts w:ascii="Times New Roman"/>
        </w:rPr>
        <w:t>......</w:t>
      </w:r>
    </w:p>
    <w:p>
      <w:pPr>
        <w:pStyle w:val="BodyText"/>
        <w:spacing w:before="7"/>
        <w:rPr>
          <w:rFonts w:ascii="Times New Roman"/>
          <w:sz w:val="21"/>
        </w:rPr>
      </w:pPr>
    </w:p>
    <w:p>
      <w:pPr>
        <w:pStyle w:val="BodyText"/>
        <w:tabs>
          <w:tab w:pos="4560" w:val="left" w:leader="none"/>
          <w:tab w:pos="5515" w:val="left" w:leader="none"/>
          <w:tab w:pos="6504" w:val="left" w:leader="none"/>
          <w:tab w:pos="7462" w:val="left" w:leader="none"/>
        </w:tabs>
        <w:ind w:left="936"/>
      </w:pPr>
      <w:r>
        <w:rPr>
          <w:spacing w:val="5"/>
        </w:rPr>
        <w:t>请将</w:t>
      </w:r>
      <w:r>
        <w:rPr>
          <w:spacing w:val="5"/>
        </w:rPr>
        <w:t>上</w:t>
      </w:r>
      <w:r>
        <w:rPr>
          <w:spacing w:val="5"/>
        </w:rPr>
        <w:t>述问题的澄</w:t>
      </w:r>
      <w:r>
        <w:rPr>
          <w:spacing w:val="5"/>
        </w:rPr>
        <w:t>清</w:t>
      </w:r>
      <w:r>
        <w:rPr>
          <w:spacing w:val="5"/>
        </w:rPr>
        <w:t>、说明或补</w:t>
      </w:r>
      <w:r>
        <w:rPr>
          <w:spacing w:val="5"/>
        </w:rPr>
        <w:t>正</w:t>
      </w:r>
      <w:r>
        <w:rPr>
          <w:spacing w:val="7"/>
        </w:rPr>
        <w:t>于</w:t>
      </w:r>
      <w:r>
        <w:rPr>
          <w:spacing w:val="7"/>
          <w:u w:val="single"/>
        </w:rPr>
        <w:t> </w:t>
        <w:tab/>
      </w:r>
      <w:r>
        <w:rPr>
          <w:spacing w:val="7"/>
        </w:rPr>
        <w:t>年</w:t>
      </w:r>
      <w:r>
        <w:rPr>
          <w:spacing w:val="7"/>
          <w:u w:val="single"/>
        </w:rPr>
        <w:t> </w:t>
        <w:tab/>
      </w:r>
      <w:r>
        <w:rPr>
          <w:spacing w:val="5"/>
        </w:rPr>
        <w:t>月</w:t>
      </w:r>
      <w:r>
        <w:rPr>
          <w:spacing w:val="5"/>
          <w:u w:val="single"/>
        </w:rPr>
        <w:t> </w:t>
        <w:tab/>
      </w:r>
      <w:r>
        <w:rPr>
          <w:spacing w:val="2"/>
        </w:rPr>
        <w:t>日</w:t>
      </w:r>
      <w:r>
        <w:rPr>
          <w:spacing w:val="2"/>
          <w:u w:val="single"/>
        </w:rPr>
        <w:t> </w:t>
        <w:tab/>
      </w:r>
      <w:r>
        <w:rPr>
          <w:spacing w:val="5"/>
        </w:rPr>
        <w:t>时</w:t>
      </w:r>
      <w:r>
        <w:rPr>
          <w:spacing w:val="5"/>
        </w:rPr>
        <w:t>前</w:t>
      </w:r>
      <w:r>
        <w:rPr>
          <w:spacing w:val="5"/>
        </w:rPr>
        <w:t>递</w:t>
      </w:r>
      <w:r>
        <w:rPr>
          <w:spacing w:val="5"/>
        </w:rPr>
        <w:t>交</w:t>
      </w:r>
      <w:r>
        <w:rPr/>
        <w:t>至</w:t>
      </w:r>
    </w:p>
    <w:p>
      <w:pPr>
        <w:pStyle w:val="BodyText"/>
        <w:spacing w:before="10"/>
        <w:rPr>
          <w:sz w:val="18"/>
        </w:rPr>
      </w:pPr>
    </w:p>
    <w:p>
      <w:pPr>
        <w:pStyle w:val="BodyText"/>
        <w:tabs>
          <w:tab w:pos="3043" w:val="left" w:leader="none"/>
          <w:tab w:pos="7128" w:val="left" w:leader="none"/>
          <w:tab w:pos="7330" w:val="left" w:leader="none"/>
          <w:tab w:pos="8123" w:val="left" w:leader="none"/>
        </w:tabs>
        <w:spacing w:line="422" w:lineRule="auto" w:before="77"/>
        <w:ind w:left="115" w:right="1530" w:firstLine="408"/>
        <w:rPr>
          <w:rFonts w:ascii="Times New Roman" w:eastAsia="Times New Roman"/>
        </w:rPr>
      </w:pPr>
      <w:r>
        <w:rPr>
          <w:rFonts w:ascii="Times New Roman" w:eastAsia="Times New Roman"/>
          <w:w w:val="99"/>
          <w:u w:val="single"/>
        </w:rPr>
        <w:t> </w:t>
      </w:r>
      <w:r>
        <w:rPr>
          <w:rFonts w:ascii="Times New Roman" w:eastAsia="Times New Roman"/>
          <w:u w:val="single"/>
        </w:rPr>
        <w:tab/>
      </w:r>
      <w:r>
        <w:rPr>
          <w:spacing w:val="7"/>
        </w:rPr>
        <w:t>（详细地址）</w:t>
      </w:r>
      <w:r>
        <w:rPr>
          <w:spacing w:val="10"/>
        </w:rPr>
        <w:t>或</w:t>
      </w:r>
      <w:r>
        <w:rPr>
          <w:spacing w:val="7"/>
        </w:rPr>
        <w:t>传真</w:t>
      </w:r>
      <w:r>
        <w:rPr>
          <w:spacing w:val="20"/>
        </w:rPr>
        <w:t>至</w:t>
      </w:r>
      <w:r>
        <w:rPr>
          <w:spacing w:val="20"/>
          <w:u w:val="single"/>
        </w:rPr>
        <w:t> </w:t>
        <w:tab/>
        <w:tab/>
      </w:r>
      <w:r>
        <w:rPr>
          <w:spacing w:val="7"/>
        </w:rPr>
        <w:t>（传真号码</w:t>
      </w:r>
      <w:r>
        <w:rPr/>
        <w:t>） </w:t>
      </w:r>
      <w:r>
        <w:rPr>
          <w:spacing w:val="7"/>
        </w:rPr>
        <w:t>或</w:t>
      </w:r>
      <w:r>
        <w:rPr>
          <w:spacing w:val="5"/>
        </w:rPr>
        <w:t>通</w:t>
      </w:r>
      <w:r>
        <w:rPr>
          <w:spacing w:val="7"/>
        </w:rPr>
        <w:t>过下</w:t>
      </w:r>
      <w:r>
        <w:rPr>
          <w:spacing w:val="5"/>
        </w:rPr>
        <w:t>载</w:t>
      </w:r>
      <w:r>
        <w:rPr>
          <w:spacing w:val="7"/>
        </w:rPr>
        <w:t>招标</w:t>
      </w:r>
      <w:r>
        <w:rPr>
          <w:spacing w:val="5"/>
        </w:rPr>
        <w:t>文</w:t>
      </w:r>
      <w:r>
        <w:rPr>
          <w:spacing w:val="7"/>
        </w:rPr>
        <w:t>件的</w:t>
      </w:r>
      <w:r>
        <w:rPr>
          <w:spacing w:val="5"/>
        </w:rPr>
        <w:t>电</w:t>
      </w:r>
      <w:r>
        <w:rPr>
          <w:spacing w:val="7"/>
        </w:rPr>
        <w:t>子招</w:t>
      </w:r>
      <w:r>
        <w:rPr>
          <w:spacing w:val="5"/>
        </w:rPr>
        <w:t>标</w:t>
      </w:r>
      <w:r>
        <w:rPr>
          <w:spacing w:val="7"/>
        </w:rPr>
        <w:t>交易</w:t>
      </w:r>
      <w:r>
        <w:rPr>
          <w:spacing w:val="5"/>
        </w:rPr>
        <w:t>平</w:t>
      </w:r>
      <w:r>
        <w:rPr>
          <w:spacing w:val="7"/>
        </w:rPr>
        <w:t>台上</w:t>
      </w:r>
      <w:r>
        <w:rPr>
          <w:spacing w:val="5"/>
        </w:rPr>
        <w:t>传</w:t>
      </w:r>
      <w:r>
        <w:rPr>
          <w:spacing w:val="7"/>
        </w:rPr>
        <w:t>。采</w:t>
      </w:r>
      <w:r>
        <w:rPr>
          <w:spacing w:val="5"/>
        </w:rPr>
        <w:t>用</w:t>
      </w:r>
      <w:r>
        <w:rPr>
          <w:spacing w:val="7"/>
        </w:rPr>
        <w:t>传真</w:t>
      </w:r>
      <w:r>
        <w:rPr>
          <w:spacing w:val="5"/>
        </w:rPr>
        <w:t>方</w:t>
      </w:r>
      <w:r>
        <w:rPr>
          <w:spacing w:val="7"/>
        </w:rPr>
        <w:t>式的</w:t>
      </w:r>
      <w:r>
        <w:rPr>
          <w:spacing w:val="5"/>
        </w:rPr>
        <w:t>，</w:t>
      </w:r>
      <w:r>
        <w:rPr>
          <w:spacing w:val="7"/>
        </w:rPr>
        <w:t>应在</w:t>
      </w:r>
      <w:r>
        <w:rPr>
          <w:spacing w:val="7"/>
          <w:u w:val="single"/>
        </w:rPr>
        <w:t> </w:t>
        <w:tab/>
      </w:r>
      <w:r>
        <w:rPr>
          <w:spacing w:val="10"/>
        </w:rPr>
        <w:t>年</w:t>
      </w:r>
      <w:r>
        <w:rPr>
          <w:rFonts w:ascii="Times New Roman" w:eastAsia="Times New Roman"/>
          <w:u w:val="single"/>
        </w:rPr>
        <w:t> </w:t>
        <w:tab/>
      </w:r>
    </w:p>
    <w:p>
      <w:pPr>
        <w:pStyle w:val="BodyText"/>
        <w:tabs>
          <w:tab w:pos="1848" w:val="left" w:leader="none"/>
          <w:tab w:pos="5647" w:val="left" w:leader="none"/>
        </w:tabs>
        <w:spacing w:before="94"/>
        <w:ind w:left="521"/>
      </w:pPr>
      <w:r>
        <w:rPr/>
        <w:t>月</w:t>
      </w:r>
      <w:r>
        <w:rPr>
          <w:spacing w:val="72"/>
        </w:rPr>
        <w:t> </w:t>
      </w:r>
      <w:r>
        <w:rPr/>
        <w:t>日</w:t>
      </w:r>
      <w:r>
        <w:rPr>
          <w:u w:val="single"/>
        </w:rPr>
        <w:t> </w:t>
        <w:tab/>
      </w:r>
      <w:r>
        <w:rPr/>
        <w:t>时前将原件递交至</w:t>
      </w:r>
      <w:r>
        <w:rPr>
          <w:u w:val="single"/>
        </w:rPr>
        <w:t> </w:t>
        <w:tab/>
      </w:r>
      <w:r>
        <w:rPr/>
        <w:t>（详细地址）。</w:t>
      </w:r>
    </w:p>
    <w:p>
      <w:pPr>
        <w:pStyle w:val="BodyText"/>
        <w:rPr>
          <w:sz w:val="22"/>
        </w:rPr>
      </w:pPr>
    </w:p>
    <w:p>
      <w:pPr>
        <w:pStyle w:val="BodyText"/>
        <w:rPr>
          <w:sz w:val="22"/>
        </w:rPr>
      </w:pPr>
    </w:p>
    <w:p>
      <w:pPr>
        <w:pStyle w:val="BodyText"/>
        <w:rPr>
          <w:sz w:val="22"/>
        </w:rPr>
      </w:pPr>
    </w:p>
    <w:p>
      <w:pPr>
        <w:pStyle w:val="BodyText"/>
        <w:spacing w:before="2"/>
        <w:rPr>
          <w:sz w:val="27"/>
        </w:rPr>
      </w:pPr>
    </w:p>
    <w:p>
      <w:pPr>
        <w:pStyle w:val="BodyText"/>
        <w:tabs>
          <w:tab w:pos="7037" w:val="left" w:leader="none"/>
        </w:tabs>
        <w:ind w:left="2633"/>
      </w:pPr>
      <w:r>
        <w:rPr>
          <w:spacing w:val="7"/>
        </w:rPr>
        <w:t>评标委员会授</w:t>
      </w:r>
      <w:r>
        <w:rPr>
          <w:spacing w:val="10"/>
        </w:rPr>
        <w:t>权</w:t>
      </w:r>
      <w:r>
        <w:rPr>
          <w:spacing w:val="7"/>
        </w:rPr>
        <w:t>的招标人或招标代理机构</w:t>
      </w:r>
      <w:r>
        <w:rPr/>
        <w:t>：</w:t>
      </w:r>
      <w:r>
        <w:rPr>
          <w:u w:val="single"/>
        </w:rPr>
        <w:t> </w:t>
        <w:tab/>
      </w:r>
      <w:r>
        <w:rPr/>
        <w:t>（</w:t>
      </w:r>
      <w:r>
        <w:rPr>
          <w:spacing w:val="7"/>
        </w:rPr>
        <w:t>签字或盖章</w:t>
      </w:r>
      <w:r>
        <w:rPr/>
        <w:t>）</w:t>
      </w:r>
    </w:p>
    <w:p>
      <w:pPr>
        <w:pStyle w:val="BodyText"/>
      </w:pPr>
    </w:p>
    <w:p>
      <w:pPr>
        <w:pStyle w:val="BodyText"/>
      </w:pPr>
    </w:p>
    <w:p>
      <w:pPr>
        <w:pStyle w:val="BodyText"/>
        <w:spacing w:before="1"/>
        <w:rPr>
          <w:sz w:val="16"/>
        </w:rPr>
      </w:pPr>
    </w:p>
    <w:p>
      <w:pPr>
        <w:pStyle w:val="BodyText"/>
        <w:tabs>
          <w:tab w:pos="5815" w:val="left" w:leader="none"/>
          <w:tab w:pos="6761" w:val="left" w:leader="none"/>
          <w:tab w:pos="7740" w:val="left" w:leader="none"/>
        </w:tabs>
        <w:spacing w:before="72"/>
        <w:ind w:left="5384"/>
      </w:pPr>
      <w:r>
        <w:rPr>
          <w:rFonts w:ascii="Times New Roman" w:eastAsia="Times New Roman"/>
          <w:w w:val="99"/>
          <w:u w:val="single"/>
        </w:rPr>
        <w:t> </w:t>
      </w:r>
      <w:r>
        <w:rPr>
          <w:rFonts w:ascii="Times New Roman" w:eastAsia="Times New Roman"/>
          <w:u w:val="single"/>
        </w:rPr>
        <w:tab/>
      </w:r>
      <w:r>
        <w:rPr/>
        <w:t>年</w:t>
      </w:r>
      <w:r>
        <w:rPr>
          <w:u w:val="single"/>
        </w:rPr>
        <w:t> </w:t>
        <w:tab/>
      </w:r>
      <w:r>
        <w:rPr/>
        <w:t>月</w:t>
      </w:r>
      <w:r>
        <w:rPr>
          <w:u w:val="single"/>
        </w:rPr>
        <w:t> </w:t>
        <w:tab/>
      </w:r>
      <w:r>
        <w:rPr/>
        <w:t>日</w:t>
      </w:r>
    </w:p>
    <w:p>
      <w:pPr>
        <w:spacing w:after="0"/>
        <w:sectPr>
          <w:pgSz w:w="11910" w:h="16840"/>
          <w:pgMar w:header="0" w:footer="766" w:top="1500" w:bottom="960" w:left="1300" w:right="500"/>
        </w:sectPr>
      </w:pPr>
    </w:p>
    <w:p>
      <w:pPr>
        <w:pStyle w:val="Heading7"/>
        <w:spacing w:before="34"/>
        <w:ind w:left="668"/>
        <w:rPr>
          <w:rFonts w:ascii="宋体" w:eastAsia="宋体" w:hint="eastAsia"/>
        </w:rPr>
      </w:pPr>
      <w:r>
        <w:rPr>
          <w:rFonts w:ascii="宋体" w:eastAsia="宋体" w:hint="eastAsia"/>
        </w:rPr>
        <w:t>附件三：问题的澄清</w:t>
      </w:r>
    </w:p>
    <w:p>
      <w:pPr>
        <w:pStyle w:val="BodyText"/>
      </w:pPr>
    </w:p>
    <w:p>
      <w:pPr>
        <w:pStyle w:val="BodyText"/>
      </w:pPr>
    </w:p>
    <w:p>
      <w:pPr>
        <w:pStyle w:val="BodyText"/>
        <w:rPr>
          <w:sz w:val="21"/>
        </w:rPr>
      </w:pPr>
    </w:p>
    <w:p>
      <w:pPr>
        <w:pStyle w:val="Heading7"/>
        <w:spacing w:before="62"/>
        <w:ind w:left="42" w:right="1161"/>
        <w:jc w:val="center"/>
        <w:rPr>
          <w:rFonts w:ascii="宋体" w:eastAsia="宋体" w:hint="eastAsia"/>
        </w:rPr>
      </w:pPr>
      <w:r>
        <w:rPr>
          <w:rFonts w:ascii="宋体" w:eastAsia="宋体" w:hint="eastAsia"/>
        </w:rPr>
        <w:t>问题的澄清</w:t>
      </w:r>
    </w:p>
    <w:p>
      <w:pPr>
        <w:pStyle w:val="BodyText"/>
        <w:spacing w:before="10"/>
        <w:rPr>
          <w:sz w:val="23"/>
        </w:rPr>
      </w:pPr>
    </w:p>
    <w:p>
      <w:pPr>
        <w:pStyle w:val="BodyText"/>
        <w:tabs>
          <w:tab w:pos="1924" w:val="left" w:leader="none"/>
        </w:tabs>
        <w:ind w:right="447"/>
        <w:jc w:val="center"/>
      </w:pPr>
      <w:r>
        <w:rPr>
          <w:spacing w:val="5"/>
        </w:rPr>
        <w:t>（</w:t>
      </w:r>
      <w:r>
        <w:rPr/>
        <w:t>编</w:t>
      </w:r>
      <w:r>
        <w:rPr>
          <w:spacing w:val="5"/>
        </w:rPr>
        <w:t>号：</w:t>
      </w:r>
      <w:r>
        <w:rPr>
          <w:spacing w:val="5"/>
          <w:u w:val="single"/>
        </w:rPr>
        <w:t> </w:t>
        <w:tab/>
      </w:r>
      <w:r>
        <w:rPr/>
        <w:t>）</w:t>
      </w:r>
    </w:p>
    <w:p>
      <w:pPr>
        <w:pStyle w:val="BodyText"/>
      </w:pPr>
    </w:p>
    <w:p>
      <w:pPr>
        <w:pStyle w:val="BodyText"/>
        <w:spacing w:before="9"/>
        <w:rPr>
          <w:sz w:val="23"/>
        </w:rPr>
      </w:pPr>
    </w:p>
    <w:p>
      <w:pPr>
        <w:pStyle w:val="BodyText"/>
        <w:spacing w:before="72"/>
        <w:ind w:left="355" w:right="8499"/>
        <w:jc w:val="center"/>
      </w:pPr>
      <w:r>
        <w:rPr/>
        <w:t>评标委员会：</w:t>
      </w:r>
    </w:p>
    <w:p>
      <w:pPr>
        <w:pStyle w:val="BodyText"/>
      </w:pPr>
    </w:p>
    <w:p>
      <w:pPr>
        <w:pStyle w:val="BodyText"/>
      </w:pPr>
    </w:p>
    <w:p>
      <w:pPr>
        <w:pStyle w:val="BodyText"/>
        <w:spacing w:before="10"/>
        <w:rPr>
          <w:sz w:val="25"/>
        </w:rPr>
      </w:pPr>
    </w:p>
    <w:p>
      <w:pPr>
        <w:pStyle w:val="BodyText"/>
        <w:tabs>
          <w:tab w:pos="3336" w:val="left" w:leader="none"/>
        </w:tabs>
        <w:ind w:left="811"/>
      </w:pPr>
      <w:r>
        <w:rPr>
          <w:spacing w:val="5"/>
        </w:rPr>
        <w:t>问题</w:t>
      </w:r>
      <w:r>
        <w:rPr>
          <w:spacing w:val="5"/>
        </w:rPr>
        <w:t>澄</w:t>
      </w:r>
      <w:r>
        <w:rPr>
          <w:spacing w:val="5"/>
        </w:rPr>
        <w:t>清通知（编号</w:t>
      </w:r>
      <w:r>
        <w:rPr>
          <w:spacing w:val="7"/>
        </w:rPr>
        <w:t>：</w:t>
      </w:r>
      <w:r>
        <w:rPr>
          <w:spacing w:val="7"/>
          <w:u w:val="single"/>
        </w:rPr>
        <w:t> </w:t>
        <w:tab/>
      </w:r>
      <w:r>
        <w:rPr>
          <w:spacing w:val="7"/>
        </w:rPr>
        <w:t>）</w:t>
      </w:r>
      <w:r>
        <w:rPr>
          <w:spacing w:val="5"/>
        </w:rPr>
        <w:t>已收</w:t>
      </w:r>
      <w:r>
        <w:rPr>
          <w:spacing w:val="5"/>
        </w:rPr>
        <w:t>悉</w:t>
      </w:r>
      <w:r>
        <w:rPr>
          <w:spacing w:val="5"/>
        </w:rPr>
        <w:t>，现澄清、</w:t>
      </w:r>
      <w:r>
        <w:rPr>
          <w:spacing w:val="5"/>
        </w:rPr>
        <w:t>说</w:t>
      </w:r>
      <w:r>
        <w:rPr>
          <w:spacing w:val="5"/>
        </w:rPr>
        <w:t>明或补正如</w:t>
      </w:r>
      <w:r>
        <w:rPr>
          <w:spacing w:val="5"/>
        </w:rPr>
        <w:t>下</w:t>
      </w:r>
      <w:r>
        <w:rPr/>
        <w:t>：</w:t>
      </w:r>
    </w:p>
    <w:p>
      <w:pPr>
        <w:pStyle w:val="BodyText"/>
        <w:rPr>
          <w:sz w:val="22"/>
        </w:rPr>
      </w:pPr>
    </w:p>
    <w:p>
      <w:pPr>
        <w:pStyle w:val="BodyText"/>
        <w:spacing w:before="5"/>
        <w:rPr>
          <w:sz w:val="32"/>
        </w:rPr>
      </w:pPr>
    </w:p>
    <w:p>
      <w:pPr>
        <w:pStyle w:val="BodyText"/>
        <w:spacing w:before="1"/>
        <w:ind w:left="214" w:right="8507"/>
        <w:jc w:val="center"/>
        <w:rPr>
          <w:rFonts w:ascii="Times New Roman"/>
        </w:rPr>
      </w:pPr>
      <w:r>
        <w:rPr>
          <w:rFonts w:ascii="Times New Roman"/>
        </w:rPr>
        <w:t>1.</w:t>
      </w:r>
    </w:p>
    <w:p>
      <w:pPr>
        <w:pStyle w:val="BodyText"/>
        <w:rPr>
          <w:rFonts w:ascii="Times New Roman"/>
          <w:sz w:val="29"/>
        </w:rPr>
      </w:pPr>
    </w:p>
    <w:p>
      <w:pPr>
        <w:pStyle w:val="BodyText"/>
        <w:ind w:left="814"/>
        <w:rPr>
          <w:rFonts w:ascii="Times New Roman"/>
        </w:rPr>
      </w:pPr>
      <w:r>
        <w:rPr>
          <w:rFonts w:ascii="Times New Roman"/>
        </w:rPr>
        <w:t>2.</w:t>
      </w:r>
    </w:p>
    <w:p>
      <w:pPr>
        <w:pStyle w:val="BodyText"/>
        <w:spacing w:before="8"/>
        <w:rPr>
          <w:rFonts w:ascii="Times New Roman"/>
          <w:sz w:val="29"/>
        </w:rPr>
      </w:pPr>
    </w:p>
    <w:p>
      <w:pPr>
        <w:pStyle w:val="BodyText"/>
        <w:ind w:left="720"/>
        <w:rPr>
          <w:rFonts w:ascii="Times New Roman"/>
        </w:rPr>
      </w:pPr>
      <w:r>
        <w:rPr>
          <w:rFonts w:ascii="Times New Roman"/>
        </w:rPr>
        <w:t>.....</w:t>
      </w:r>
    </w:p>
    <w:p>
      <w:pPr>
        <w:pStyle w:val="BodyText"/>
        <w:rPr>
          <w:rFonts w:ascii="Times New Roman"/>
          <w:sz w:val="22"/>
        </w:rPr>
      </w:pPr>
    </w:p>
    <w:p>
      <w:pPr>
        <w:pStyle w:val="BodyText"/>
        <w:rPr>
          <w:rFonts w:ascii="Times New Roman"/>
          <w:sz w:val="22"/>
        </w:rPr>
      </w:pPr>
    </w:p>
    <w:p>
      <w:pPr>
        <w:pStyle w:val="BodyText"/>
        <w:rPr>
          <w:rFonts w:ascii="Times New Roman"/>
          <w:sz w:val="21"/>
        </w:rPr>
      </w:pPr>
    </w:p>
    <w:p>
      <w:pPr>
        <w:pStyle w:val="BodyText"/>
        <w:ind w:left="331"/>
      </w:pPr>
      <w:r>
        <w:rPr/>
        <w:t>上述问题澄清、说明或补正，不改变我方投标文件的实质性内容，构成我方投标文件的组成部分。</w:t>
      </w: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15"/>
        </w:rPr>
      </w:pPr>
    </w:p>
    <w:p>
      <w:pPr>
        <w:pStyle w:val="BodyText"/>
        <w:tabs>
          <w:tab w:pos="7219" w:val="left" w:leader="none"/>
          <w:tab w:pos="7632" w:val="left" w:leader="none"/>
        </w:tabs>
        <w:spacing w:line="559" w:lineRule="auto"/>
        <w:ind w:left="3308" w:right="1641"/>
      </w:pPr>
      <w:r>
        <w:rPr>
          <w:spacing w:val="10"/>
        </w:rPr>
        <w:t>投</w:t>
      </w:r>
      <w:r>
        <w:rPr>
          <w:spacing w:val="12"/>
        </w:rPr>
        <w:t>标</w:t>
      </w:r>
      <w:r>
        <w:rPr>
          <w:spacing w:val="10"/>
        </w:rPr>
        <w:t>人</w:t>
      </w:r>
      <w:r>
        <w:rPr>
          <w:spacing w:val="-3"/>
        </w:rPr>
        <w:t>：</w:t>
      </w:r>
      <w:r>
        <w:rPr>
          <w:spacing w:val="-3"/>
          <w:u w:val="single"/>
        </w:rPr>
        <w:t> </w:t>
        <w:tab/>
      </w:r>
      <w:r>
        <w:rPr>
          <w:spacing w:val="-3"/>
        </w:rPr>
        <w:t>（</w:t>
      </w:r>
      <w:r>
        <w:rPr>
          <w:spacing w:val="10"/>
        </w:rPr>
        <w:t>盖</w:t>
      </w:r>
      <w:r>
        <w:rPr>
          <w:spacing w:val="12"/>
        </w:rPr>
        <w:t>单</w:t>
      </w:r>
      <w:r>
        <w:rPr>
          <w:spacing w:val="10"/>
        </w:rPr>
        <w:t>位章</w:t>
      </w:r>
      <w:r>
        <w:rPr/>
        <w:t>） </w:t>
      </w:r>
      <w:r>
        <w:rPr>
          <w:spacing w:val="7"/>
        </w:rPr>
        <w:t>法定代表人或</w:t>
      </w:r>
      <w:r>
        <w:rPr>
          <w:spacing w:val="10"/>
        </w:rPr>
        <w:t>其</w:t>
      </w:r>
      <w:r>
        <w:rPr>
          <w:spacing w:val="7"/>
        </w:rPr>
        <w:t>委托代理人</w:t>
      </w:r>
      <w:r>
        <w:rPr/>
        <w:t>：</w:t>
      </w:r>
      <w:r>
        <w:rPr>
          <w:u w:val="single"/>
        </w:rPr>
        <w:t> </w:t>
        <w:tab/>
        <w:tab/>
      </w:r>
      <w:r>
        <w:rPr/>
        <w:t>（</w:t>
      </w:r>
      <w:r>
        <w:rPr>
          <w:spacing w:val="7"/>
        </w:rPr>
        <w:t>签字</w:t>
      </w:r>
      <w:r>
        <w:rPr/>
        <w:t>）</w:t>
      </w:r>
    </w:p>
    <w:p>
      <w:pPr>
        <w:pStyle w:val="BodyText"/>
      </w:pPr>
    </w:p>
    <w:p>
      <w:pPr>
        <w:pStyle w:val="BodyText"/>
        <w:spacing w:before="5"/>
        <w:rPr>
          <w:sz w:val="14"/>
        </w:rPr>
      </w:pPr>
    </w:p>
    <w:p>
      <w:pPr>
        <w:pStyle w:val="BodyText"/>
        <w:tabs>
          <w:tab w:pos="6281" w:val="left" w:leader="none"/>
          <w:tab w:pos="7332" w:val="left" w:leader="none"/>
          <w:tab w:pos="8417" w:val="left" w:leader="none"/>
        </w:tabs>
        <w:spacing w:before="72"/>
        <w:ind w:left="5852"/>
      </w:pPr>
      <w:r>
        <w:rPr>
          <w:rFonts w:ascii="Times New Roman" w:eastAsia="Times New Roman"/>
          <w:w w:val="99"/>
          <w:u w:val="single"/>
        </w:rPr>
        <w:t> </w:t>
      </w:r>
      <w:r>
        <w:rPr>
          <w:rFonts w:ascii="Times New Roman" w:eastAsia="Times New Roman"/>
          <w:u w:val="single"/>
        </w:rPr>
        <w:tab/>
      </w:r>
      <w:r>
        <w:rPr/>
        <w:t>年</w:t>
      </w:r>
      <w:r>
        <w:rPr>
          <w:u w:val="single"/>
        </w:rPr>
        <w:t> </w:t>
        <w:tab/>
      </w:r>
      <w:r>
        <w:rPr/>
        <w:t>月</w:t>
      </w:r>
      <w:r>
        <w:rPr>
          <w:u w:val="single"/>
        </w:rPr>
        <w:t> </w:t>
        <w:tab/>
      </w:r>
      <w:r>
        <w:rPr/>
        <w:t>日</w:t>
      </w:r>
    </w:p>
    <w:p>
      <w:pPr>
        <w:spacing w:after="0"/>
        <w:sectPr>
          <w:pgSz w:w="11910" w:h="16840"/>
          <w:pgMar w:header="0" w:footer="766" w:top="1500" w:bottom="960" w:left="1300" w:right="500"/>
        </w:sectPr>
      </w:pPr>
    </w:p>
    <w:p>
      <w:pPr>
        <w:pStyle w:val="Heading7"/>
        <w:spacing w:before="34"/>
        <w:ind w:left="836"/>
        <w:rPr>
          <w:rFonts w:ascii="宋体" w:eastAsia="宋体" w:hint="eastAsia"/>
        </w:rPr>
      </w:pPr>
      <w:r>
        <w:rPr>
          <w:rFonts w:ascii="宋体" w:eastAsia="宋体" w:hint="eastAsia"/>
        </w:rPr>
        <w:t>附件四：中标通知书</w:t>
      </w:r>
    </w:p>
    <w:p>
      <w:pPr>
        <w:pStyle w:val="BodyText"/>
      </w:pPr>
    </w:p>
    <w:p>
      <w:pPr>
        <w:pStyle w:val="BodyText"/>
        <w:spacing w:before="1"/>
        <w:rPr>
          <w:sz w:val="14"/>
        </w:rPr>
      </w:pPr>
    </w:p>
    <w:p>
      <w:pPr>
        <w:pStyle w:val="Heading7"/>
        <w:spacing w:before="61"/>
        <w:ind w:left="355" w:right="1145"/>
        <w:jc w:val="center"/>
        <w:rPr>
          <w:rFonts w:ascii="宋体" w:eastAsia="宋体" w:hint="eastAsia"/>
        </w:rPr>
      </w:pPr>
      <w:r>
        <w:rPr>
          <w:rFonts w:ascii="宋体" w:eastAsia="宋体" w:hint="eastAsia"/>
        </w:rPr>
        <w:t>中标通知书</w:t>
      </w:r>
    </w:p>
    <w:p>
      <w:pPr>
        <w:pStyle w:val="BodyText"/>
      </w:pPr>
    </w:p>
    <w:p>
      <w:pPr>
        <w:pStyle w:val="BodyText"/>
        <w:spacing w:before="7"/>
        <w:rPr>
          <w:sz w:val="24"/>
        </w:rPr>
      </w:pPr>
    </w:p>
    <w:p>
      <w:pPr>
        <w:pStyle w:val="BodyText"/>
        <w:tabs>
          <w:tab w:pos="2623" w:val="left" w:leader="none"/>
        </w:tabs>
        <w:spacing w:before="77"/>
        <w:ind w:left="524"/>
      </w:pPr>
      <w:r>
        <w:rPr>
          <w:rFonts w:ascii="Times New Roman" w:eastAsia="Times New Roman"/>
          <w:w w:val="99"/>
          <w:u w:val="single"/>
        </w:rPr>
        <w:t> </w:t>
      </w:r>
      <w:r>
        <w:rPr>
          <w:rFonts w:ascii="Times New Roman" w:eastAsia="Times New Roman"/>
          <w:u w:val="single"/>
        </w:rPr>
        <w:tab/>
      </w:r>
      <w:r>
        <w:rPr>
          <w:spacing w:val="7"/>
        </w:rPr>
        <w:t>（中标人名称</w:t>
      </w:r>
      <w:r>
        <w:rPr/>
        <w:t>）：</w:t>
      </w:r>
    </w:p>
    <w:p>
      <w:pPr>
        <w:pStyle w:val="BodyText"/>
        <w:rPr>
          <w:sz w:val="22"/>
        </w:rPr>
      </w:pPr>
    </w:p>
    <w:p>
      <w:pPr>
        <w:pStyle w:val="BodyText"/>
        <w:spacing w:before="2"/>
        <w:rPr>
          <w:sz w:val="24"/>
        </w:rPr>
      </w:pPr>
    </w:p>
    <w:p>
      <w:pPr>
        <w:pStyle w:val="BodyText"/>
        <w:tabs>
          <w:tab w:pos="2825" w:val="left" w:leader="none"/>
          <w:tab w:pos="6713" w:val="left" w:leader="none"/>
        </w:tabs>
        <w:spacing w:line="396" w:lineRule="auto"/>
        <w:ind w:left="115" w:right="1228" w:firstLine="420"/>
      </w:pPr>
      <w:r>
        <w:rPr>
          <w:spacing w:val="5"/>
        </w:rPr>
        <w:t>你方</w:t>
      </w:r>
      <w:r>
        <w:rPr>
          <w:spacing w:val="10"/>
        </w:rPr>
        <w:t>于</w:t>
      </w:r>
      <w:r>
        <w:rPr>
          <w:spacing w:val="10"/>
          <w:u w:val="single"/>
        </w:rPr>
        <w:t> </w:t>
        <w:tab/>
      </w:r>
      <w:r>
        <w:rPr>
          <w:spacing w:val="5"/>
        </w:rPr>
        <w:t>（投</w:t>
      </w:r>
      <w:r>
        <w:rPr>
          <w:spacing w:val="7"/>
        </w:rPr>
        <w:t>标</w:t>
      </w:r>
      <w:r>
        <w:rPr>
          <w:spacing w:val="5"/>
        </w:rPr>
        <w:t>日期）</w:t>
      </w:r>
      <w:r>
        <w:rPr>
          <w:spacing w:val="7"/>
        </w:rPr>
        <w:t>所</w:t>
      </w:r>
      <w:r>
        <w:rPr>
          <w:spacing w:val="5"/>
        </w:rPr>
        <w:t>递交的</w:t>
      </w:r>
      <w:r>
        <w:rPr>
          <w:spacing w:val="5"/>
          <w:u w:val="single"/>
        </w:rPr>
        <w:t> </w:t>
        <w:tab/>
      </w:r>
      <w:r>
        <w:rPr>
          <w:spacing w:val="5"/>
        </w:rPr>
        <w:t>（项</w:t>
      </w:r>
      <w:r>
        <w:rPr>
          <w:spacing w:val="7"/>
        </w:rPr>
        <w:t>目</w:t>
      </w:r>
      <w:r>
        <w:rPr>
          <w:spacing w:val="5"/>
        </w:rPr>
        <w:t>名称）</w:t>
      </w:r>
      <w:r>
        <w:rPr>
          <w:spacing w:val="7"/>
        </w:rPr>
        <w:t>招</w:t>
      </w:r>
      <w:r>
        <w:rPr>
          <w:spacing w:val="5"/>
        </w:rPr>
        <w:t>标</w:t>
      </w:r>
      <w:r>
        <w:rPr/>
        <w:t>的</w:t>
      </w:r>
      <w:r>
        <w:rPr>
          <w:spacing w:val="5"/>
        </w:rPr>
        <w:t> </w:t>
      </w:r>
      <w:r>
        <w:rPr/>
        <w:t>投</w:t>
      </w:r>
      <w:r>
        <w:rPr>
          <w:spacing w:val="5"/>
        </w:rPr>
        <w:t>标文</w:t>
      </w:r>
      <w:r>
        <w:rPr>
          <w:spacing w:val="7"/>
        </w:rPr>
        <w:t>件</w:t>
      </w:r>
      <w:r>
        <w:rPr>
          <w:spacing w:val="5"/>
        </w:rPr>
        <w:t>已被我</w:t>
      </w:r>
      <w:r>
        <w:rPr>
          <w:spacing w:val="7"/>
        </w:rPr>
        <w:t>方</w:t>
      </w:r>
      <w:r>
        <w:rPr>
          <w:spacing w:val="5"/>
        </w:rPr>
        <w:t>接受，</w:t>
      </w:r>
      <w:r>
        <w:rPr>
          <w:spacing w:val="7"/>
        </w:rPr>
        <w:t>被</w:t>
      </w:r>
      <w:r>
        <w:rPr>
          <w:spacing w:val="5"/>
        </w:rPr>
        <w:t>确定为</w:t>
      </w:r>
      <w:r>
        <w:rPr>
          <w:spacing w:val="7"/>
        </w:rPr>
        <w:t>中</w:t>
      </w:r>
      <w:r>
        <w:rPr>
          <w:spacing w:val="5"/>
        </w:rPr>
        <w:t>标人</w:t>
      </w:r>
      <w:r>
        <w:rPr/>
        <w:t>。</w:t>
      </w:r>
    </w:p>
    <w:p>
      <w:pPr>
        <w:pStyle w:val="BodyText"/>
        <w:tabs>
          <w:tab w:pos="2563" w:val="left" w:leader="none"/>
          <w:tab w:pos="2621" w:val="left" w:leader="none"/>
        </w:tabs>
        <w:spacing w:line="576" w:lineRule="auto" w:before="145"/>
        <w:ind w:left="535" w:right="6970" w:hanging="32"/>
      </w:pPr>
      <w:r>
        <w:rPr>
          <w:spacing w:val="-3"/>
        </w:rPr>
        <w:t>中标价：</w:t>
      </w:r>
      <w:r>
        <w:rPr>
          <w:spacing w:val="-3"/>
          <w:u w:val="single"/>
        </w:rPr>
        <w:t> </w:t>
        <w:tab/>
      </w:r>
      <w:r>
        <w:rPr/>
        <w:t>元</w:t>
      </w:r>
      <w:r>
        <w:rPr>
          <w:spacing w:val="70"/>
        </w:rPr>
        <w:t> </w:t>
      </w:r>
      <w:r>
        <w:rPr/>
        <w:t>。</w:t>
      </w:r>
      <w:r>
        <w:rPr>
          <w:spacing w:val="5"/>
        </w:rPr>
        <w:t>服</w:t>
      </w:r>
      <w:r>
        <w:rPr>
          <w:spacing w:val="5"/>
        </w:rPr>
        <w:t>务</w:t>
      </w:r>
      <w:r>
        <w:rPr>
          <w:spacing w:val="5"/>
        </w:rPr>
        <w:t>期</w:t>
      </w:r>
      <w:r>
        <w:rPr>
          <w:spacing w:val="5"/>
        </w:rPr>
        <w:t>限</w:t>
      </w:r>
      <w:r>
        <w:rPr>
          <w:spacing w:val="2"/>
        </w:rPr>
        <w:t>：</w:t>
      </w:r>
      <w:r>
        <w:rPr>
          <w:spacing w:val="2"/>
          <w:u w:val="single"/>
        </w:rPr>
        <w:t> </w:t>
        <w:tab/>
        <w:tab/>
      </w:r>
      <w:r>
        <w:rPr/>
        <w:t>。</w:t>
      </w:r>
    </w:p>
    <w:p>
      <w:pPr>
        <w:pStyle w:val="BodyText"/>
        <w:tabs>
          <w:tab w:pos="3305" w:val="left" w:leader="none"/>
        </w:tabs>
        <w:spacing w:line="219" w:lineRule="exact"/>
        <w:ind w:left="521"/>
      </w:pPr>
      <w:r>
        <w:rPr/>
        <w:t>项目负责人</w:t>
      </w:r>
      <w:r>
        <w:rPr>
          <w:spacing w:val="-8"/>
        </w:rPr>
        <w:t>：</w:t>
      </w:r>
      <w:r>
        <w:rPr>
          <w:spacing w:val="-8"/>
          <w:u w:val="single"/>
        </w:rPr>
        <w:t> </w:t>
        <w:tab/>
      </w:r>
      <w:r>
        <w:rPr>
          <w:spacing w:val="-10"/>
        </w:rPr>
        <w:t>（</w:t>
      </w:r>
      <w:r>
        <w:rPr/>
        <w:t>姓名）。</w:t>
      </w:r>
    </w:p>
    <w:p>
      <w:pPr>
        <w:pStyle w:val="BodyText"/>
        <w:tabs>
          <w:tab w:pos="3911" w:val="left" w:leader="none"/>
          <w:tab w:pos="6562" w:val="left" w:leader="none"/>
        </w:tabs>
        <w:spacing w:line="405" w:lineRule="auto" w:before="179"/>
        <w:ind w:left="115" w:right="1175" w:firstLine="415"/>
      </w:pPr>
      <w:r>
        <w:rPr>
          <w:spacing w:val="5"/>
        </w:rPr>
        <w:t>请你方在接到</w:t>
      </w:r>
      <w:r>
        <w:rPr>
          <w:spacing w:val="7"/>
        </w:rPr>
        <w:t>本</w:t>
      </w:r>
      <w:r>
        <w:rPr>
          <w:spacing w:val="5"/>
        </w:rPr>
        <w:t>通知书后的</w:t>
      </w:r>
      <w:r>
        <w:rPr>
          <w:spacing w:val="5"/>
          <w:u w:val="single"/>
        </w:rPr>
        <w:t> </w:t>
        <w:tab/>
      </w:r>
      <w:r>
        <w:rPr>
          <w:spacing w:val="5"/>
        </w:rPr>
        <w:t>日内</w:t>
      </w:r>
      <w:r>
        <w:rPr>
          <w:spacing w:val="5"/>
        </w:rPr>
        <w:t>到</w:t>
      </w:r>
      <w:r>
        <w:rPr>
          <w:spacing w:val="5"/>
          <w:u w:val="single"/>
        </w:rPr>
        <w:t> </w:t>
        <w:tab/>
      </w:r>
      <w:r>
        <w:rPr>
          <w:spacing w:val="5"/>
        </w:rPr>
        <w:t>（指定地点）</w:t>
      </w:r>
      <w:r>
        <w:rPr>
          <w:spacing w:val="7"/>
        </w:rPr>
        <w:t>与</w:t>
      </w:r>
      <w:r>
        <w:rPr>
          <w:spacing w:val="5"/>
        </w:rPr>
        <w:t>我方</w:t>
      </w:r>
      <w:r>
        <w:rPr/>
        <w:t>签</w:t>
      </w:r>
      <w:r>
        <w:rPr>
          <w:spacing w:val="5"/>
        </w:rPr>
        <w:t> </w:t>
      </w:r>
      <w:r>
        <w:rPr/>
        <w:t>订</w:t>
      </w:r>
      <w:r>
        <w:rPr>
          <w:spacing w:val="7"/>
        </w:rPr>
        <w:t>验</w:t>
      </w:r>
      <w:r>
        <w:rPr>
          <w:spacing w:val="10"/>
        </w:rPr>
        <w:t>收</w:t>
      </w:r>
      <w:r>
        <w:rPr>
          <w:spacing w:val="7"/>
        </w:rPr>
        <w:t>合</w:t>
      </w:r>
      <w:r>
        <w:rPr>
          <w:spacing w:val="10"/>
        </w:rPr>
        <w:t>同</w:t>
      </w:r>
      <w:r>
        <w:rPr>
          <w:spacing w:val="7"/>
        </w:rPr>
        <w:t>，</w:t>
      </w:r>
      <w:r>
        <w:rPr>
          <w:spacing w:val="10"/>
        </w:rPr>
        <w:t>并</w:t>
      </w:r>
      <w:r>
        <w:rPr>
          <w:spacing w:val="7"/>
        </w:rPr>
        <w:t>按</w:t>
      </w:r>
      <w:r>
        <w:rPr>
          <w:spacing w:val="10"/>
        </w:rPr>
        <w:t>招</w:t>
      </w:r>
      <w:r>
        <w:rPr>
          <w:spacing w:val="7"/>
        </w:rPr>
        <w:t>标</w:t>
      </w:r>
      <w:r>
        <w:rPr>
          <w:spacing w:val="10"/>
        </w:rPr>
        <w:t>文</w:t>
      </w:r>
      <w:r>
        <w:rPr>
          <w:spacing w:val="7"/>
        </w:rPr>
        <w:t>件</w:t>
      </w:r>
      <w:r>
        <w:rPr>
          <w:spacing w:val="10"/>
        </w:rPr>
        <w:t>第</w:t>
      </w:r>
      <w:r>
        <w:rPr>
          <w:spacing w:val="7"/>
        </w:rPr>
        <w:t>二</w:t>
      </w:r>
      <w:r>
        <w:rPr>
          <w:spacing w:val="10"/>
        </w:rPr>
        <w:t>章</w:t>
      </w:r>
      <w:r>
        <w:rPr>
          <w:rFonts w:ascii="Times New Roman" w:hAnsi="Times New Roman" w:eastAsia="Times New Roman"/>
          <w:spacing w:val="10"/>
        </w:rPr>
        <w:t>“</w:t>
      </w:r>
      <w:r>
        <w:rPr>
          <w:spacing w:val="7"/>
        </w:rPr>
        <w:t>投</w:t>
      </w:r>
      <w:r>
        <w:rPr>
          <w:spacing w:val="10"/>
        </w:rPr>
        <w:t>标</w:t>
      </w:r>
      <w:r>
        <w:rPr>
          <w:spacing w:val="7"/>
        </w:rPr>
        <w:t>人</w:t>
      </w:r>
      <w:r>
        <w:rPr>
          <w:spacing w:val="10"/>
        </w:rPr>
        <w:t>须知</w:t>
      </w:r>
      <w:r>
        <w:rPr>
          <w:rFonts w:ascii="Times New Roman" w:hAnsi="Times New Roman" w:eastAsia="Times New Roman"/>
          <w:spacing w:val="10"/>
        </w:rPr>
        <w:t>”</w:t>
      </w:r>
      <w:r>
        <w:rPr>
          <w:spacing w:val="7"/>
        </w:rPr>
        <w:t>第</w:t>
      </w:r>
      <w:r>
        <w:rPr>
          <w:rFonts w:ascii="Times New Roman" w:hAnsi="Times New Roman" w:eastAsia="Times New Roman"/>
          <w:spacing w:val="5"/>
        </w:rPr>
        <w:t>7.6</w:t>
      </w:r>
      <w:r>
        <w:rPr>
          <w:rFonts w:ascii="Times New Roman" w:hAnsi="Times New Roman" w:eastAsia="Times New Roman"/>
          <w:spacing w:val="-7"/>
        </w:rPr>
        <w:t> </w:t>
      </w:r>
      <w:r>
        <w:rPr>
          <w:spacing w:val="7"/>
        </w:rPr>
        <w:t>款</w:t>
      </w:r>
      <w:r>
        <w:rPr>
          <w:spacing w:val="10"/>
        </w:rPr>
        <w:t>规</w:t>
      </w:r>
      <w:r>
        <w:rPr>
          <w:spacing w:val="7"/>
        </w:rPr>
        <w:t>定</w:t>
      </w:r>
      <w:r>
        <w:rPr>
          <w:spacing w:val="10"/>
        </w:rPr>
        <w:t>向</w:t>
      </w:r>
      <w:r>
        <w:rPr>
          <w:spacing w:val="7"/>
        </w:rPr>
        <w:t>我</w:t>
      </w:r>
      <w:r>
        <w:rPr>
          <w:spacing w:val="10"/>
        </w:rPr>
        <w:t>方</w:t>
      </w:r>
      <w:r>
        <w:rPr>
          <w:spacing w:val="7"/>
        </w:rPr>
        <w:t>提</w:t>
      </w:r>
      <w:r>
        <w:rPr>
          <w:spacing w:val="10"/>
        </w:rPr>
        <w:t>交</w:t>
      </w:r>
      <w:r>
        <w:rPr>
          <w:spacing w:val="7"/>
        </w:rPr>
        <w:t>履</w:t>
      </w:r>
      <w:r>
        <w:rPr>
          <w:spacing w:val="10"/>
        </w:rPr>
        <w:t>约</w:t>
      </w:r>
      <w:r>
        <w:rPr>
          <w:spacing w:val="7"/>
        </w:rPr>
        <w:t>保</w:t>
      </w:r>
      <w:r>
        <w:rPr>
          <w:spacing w:val="10"/>
        </w:rPr>
        <w:t>证</w:t>
      </w:r>
      <w:r>
        <w:rPr>
          <w:spacing w:val="7"/>
        </w:rPr>
        <w:t>金</w:t>
      </w:r>
      <w:r>
        <w:rPr>
          <w:spacing w:val="10"/>
        </w:rPr>
        <w:t>。</w:t>
      </w:r>
      <w:r>
        <w:rPr>
          <w:spacing w:val="7"/>
        </w:rPr>
        <w:t>特</w:t>
      </w:r>
      <w:r>
        <w:rPr>
          <w:spacing w:val="10"/>
        </w:rPr>
        <w:t>此</w:t>
      </w:r>
      <w:r>
        <w:rPr/>
        <w:t>通</w:t>
      </w:r>
      <w:r>
        <w:rPr>
          <w:spacing w:val="6"/>
        </w:rPr>
        <w:t> </w:t>
      </w:r>
      <w:r>
        <w:rPr/>
        <w:t>知。</w:t>
      </w:r>
    </w:p>
    <w:p>
      <w:pPr>
        <w:pStyle w:val="BodyText"/>
        <w:rPr>
          <w:sz w:val="22"/>
        </w:rPr>
      </w:pPr>
    </w:p>
    <w:p>
      <w:pPr>
        <w:pStyle w:val="BodyText"/>
        <w:rPr>
          <w:sz w:val="22"/>
        </w:rPr>
      </w:pPr>
    </w:p>
    <w:p>
      <w:pPr>
        <w:pStyle w:val="BodyText"/>
        <w:rPr>
          <w:sz w:val="22"/>
        </w:rPr>
      </w:pPr>
    </w:p>
    <w:p>
      <w:pPr>
        <w:pStyle w:val="BodyText"/>
        <w:spacing w:before="7"/>
        <w:rPr>
          <w:sz w:val="25"/>
        </w:rPr>
      </w:pPr>
    </w:p>
    <w:p>
      <w:pPr>
        <w:pStyle w:val="BodyText"/>
        <w:tabs>
          <w:tab w:pos="7191" w:val="left" w:leader="none"/>
        </w:tabs>
        <w:ind w:left="3771"/>
      </w:pPr>
      <w:r>
        <w:rPr/>
        <w:t>招标人</w:t>
      </w:r>
      <w:r>
        <w:rPr>
          <w:spacing w:val="-6"/>
        </w:rPr>
        <w:t>：</w:t>
      </w:r>
      <w:r>
        <w:rPr>
          <w:spacing w:val="-6"/>
          <w:u w:val="single"/>
        </w:rPr>
        <w:t> </w:t>
        <w:tab/>
      </w:r>
      <w:r>
        <w:rPr>
          <w:spacing w:val="-3"/>
        </w:rPr>
        <w:t>（</w:t>
      </w:r>
      <w:r>
        <w:rPr/>
        <w:t>盖单位章）</w:t>
      </w:r>
    </w:p>
    <w:p>
      <w:pPr>
        <w:pStyle w:val="BodyText"/>
        <w:spacing w:before="4"/>
        <w:rPr>
          <w:sz w:val="26"/>
        </w:rPr>
      </w:pPr>
    </w:p>
    <w:p>
      <w:pPr>
        <w:pStyle w:val="BodyText"/>
        <w:tabs>
          <w:tab w:pos="8019" w:val="left" w:leader="none"/>
        </w:tabs>
        <w:ind w:left="3771"/>
      </w:pPr>
      <w:r>
        <w:rPr>
          <w:spacing w:val="7"/>
        </w:rPr>
        <w:t>法</w:t>
      </w:r>
      <w:r>
        <w:rPr>
          <w:spacing w:val="10"/>
        </w:rPr>
        <w:t>定</w:t>
      </w:r>
      <w:r>
        <w:rPr>
          <w:spacing w:val="7"/>
        </w:rPr>
        <w:t>代</w:t>
      </w:r>
      <w:r>
        <w:rPr>
          <w:spacing w:val="10"/>
        </w:rPr>
        <w:t>表</w:t>
      </w:r>
      <w:r>
        <w:rPr>
          <w:spacing w:val="7"/>
        </w:rPr>
        <w:t>人</w:t>
      </w:r>
      <w:r>
        <w:rPr/>
        <w:t>：</w:t>
      </w:r>
      <w:r>
        <w:rPr>
          <w:u w:val="single"/>
        </w:rPr>
        <w:t> </w:t>
        <w:tab/>
      </w:r>
      <w:r>
        <w:rPr>
          <w:spacing w:val="-3"/>
        </w:rPr>
        <w:t>（</w:t>
      </w:r>
      <w:r>
        <w:rPr>
          <w:spacing w:val="7"/>
        </w:rPr>
        <w:t>签</w:t>
      </w:r>
      <w:r>
        <w:rPr>
          <w:spacing w:val="10"/>
        </w:rPr>
        <w:t>字</w:t>
      </w:r>
      <w:r>
        <w:rPr/>
        <w:t>）</w:t>
      </w:r>
    </w:p>
    <w:p>
      <w:pPr>
        <w:pStyle w:val="BodyText"/>
        <w:spacing w:before="11"/>
        <w:rPr>
          <w:sz w:val="26"/>
        </w:rPr>
      </w:pPr>
    </w:p>
    <w:p>
      <w:pPr>
        <w:pStyle w:val="BodyText"/>
        <w:tabs>
          <w:tab w:pos="5686" w:val="left" w:leader="none"/>
          <w:tab w:pos="6634" w:val="left" w:leader="none"/>
          <w:tab w:pos="7608" w:val="left" w:leader="none"/>
        </w:tabs>
        <w:spacing w:before="72"/>
        <w:ind w:left="5352"/>
      </w:pPr>
      <w:r>
        <w:rPr>
          <w:rFonts w:ascii="Times New Roman" w:eastAsia="Times New Roman"/>
          <w:w w:val="99"/>
          <w:u w:val="single"/>
        </w:rPr>
        <w:t> </w:t>
      </w:r>
      <w:r>
        <w:rPr>
          <w:rFonts w:ascii="Times New Roman" w:eastAsia="Times New Roman"/>
          <w:u w:val="single"/>
        </w:rPr>
        <w:tab/>
      </w:r>
      <w:r>
        <w:rPr/>
        <w:t>年</w:t>
      </w:r>
      <w:r>
        <w:rPr>
          <w:u w:val="single"/>
        </w:rPr>
        <w:t> </w:t>
        <w:tab/>
      </w:r>
      <w:r>
        <w:rPr>
          <w:spacing w:val="-3"/>
        </w:rPr>
        <w:t>月</w:t>
      </w:r>
      <w:r>
        <w:rPr>
          <w:spacing w:val="-3"/>
          <w:u w:val="single"/>
        </w:rPr>
        <w:t> </w:t>
        <w:tab/>
      </w:r>
      <w:r>
        <w:rPr/>
        <w:t>日</w:t>
      </w:r>
    </w:p>
    <w:p>
      <w:pPr>
        <w:spacing w:after="0"/>
        <w:sectPr>
          <w:pgSz w:w="11910" w:h="16840"/>
          <w:pgMar w:header="0" w:footer="766" w:top="1500" w:bottom="960" w:left="1300" w:right="500"/>
        </w:sectPr>
      </w:pPr>
    </w:p>
    <w:p>
      <w:pPr>
        <w:pStyle w:val="Heading7"/>
        <w:spacing w:before="34"/>
        <w:ind w:left="833"/>
        <w:rPr>
          <w:rFonts w:ascii="宋体" w:eastAsia="宋体" w:hint="eastAsia"/>
        </w:rPr>
      </w:pPr>
      <w:r>
        <w:rPr>
          <w:rFonts w:ascii="宋体" w:eastAsia="宋体" w:hint="eastAsia"/>
        </w:rPr>
        <w:t>附件五：中标结果通知书</w:t>
      </w:r>
    </w:p>
    <w:p>
      <w:pPr>
        <w:pStyle w:val="BodyText"/>
        <w:spacing w:before="11"/>
        <w:rPr>
          <w:sz w:val="38"/>
        </w:rPr>
      </w:pPr>
    </w:p>
    <w:p>
      <w:pPr>
        <w:pStyle w:val="Heading7"/>
        <w:ind w:left="355" w:right="1145"/>
        <w:jc w:val="center"/>
        <w:rPr>
          <w:rFonts w:ascii="宋体" w:eastAsia="宋体" w:hint="eastAsia"/>
        </w:rPr>
      </w:pPr>
      <w:r>
        <w:rPr>
          <w:rFonts w:ascii="宋体" w:eastAsia="宋体" w:hint="eastAsia"/>
        </w:rPr>
        <w:t>中标结果通知书</w:t>
      </w:r>
    </w:p>
    <w:p>
      <w:pPr>
        <w:pStyle w:val="BodyText"/>
      </w:pPr>
    </w:p>
    <w:p>
      <w:pPr>
        <w:pStyle w:val="BodyText"/>
        <w:spacing w:before="6"/>
        <w:rPr>
          <w:sz w:val="24"/>
        </w:rPr>
      </w:pPr>
    </w:p>
    <w:p>
      <w:pPr>
        <w:pStyle w:val="BodyText"/>
        <w:tabs>
          <w:tab w:pos="2309" w:val="left" w:leader="none"/>
        </w:tabs>
        <w:spacing w:before="78"/>
        <w:ind w:left="520"/>
      </w:pPr>
      <w:r>
        <w:rPr>
          <w:rFonts w:ascii="Times New Roman" w:eastAsia="Times New Roman"/>
          <w:w w:val="99"/>
          <w:u w:val="single"/>
        </w:rPr>
        <w:t> </w:t>
      </w:r>
      <w:r>
        <w:rPr>
          <w:rFonts w:ascii="Times New Roman" w:eastAsia="Times New Roman"/>
          <w:u w:val="single"/>
        </w:rPr>
        <w:tab/>
      </w:r>
      <w:r>
        <w:rPr>
          <w:spacing w:val="7"/>
        </w:rPr>
        <w:t>（未中标人名称</w:t>
      </w:r>
      <w:r>
        <w:rPr/>
        <w:t>）：</w:t>
      </w:r>
    </w:p>
    <w:p>
      <w:pPr>
        <w:pStyle w:val="BodyText"/>
        <w:rPr>
          <w:sz w:val="22"/>
        </w:rPr>
      </w:pPr>
    </w:p>
    <w:p>
      <w:pPr>
        <w:pStyle w:val="BodyText"/>
        <w:spacing w:before="1"/>
        <w:rPr>
          <w:sz w:val="24"/>
        </w:rPr>
      </w:pPr>
    </w:p>
    <w:p>
      <w:pPr>
        <w:pStyle w:val="BodyText"/>
        <w:tabs>
          <w:tab w:pos="2479" w:val="left" w:leader="none"/>
          <w:tab w:pos="5614" w:val="left" w:leader="none"/>
          <w:tab w:pos="8893" w:val="left" w:leader="none"/>
        </w:tabs>
        <w:spacing w:before="1"/>
        <w:ind w:left="535"/>
        <w:rPr>
          <w:rFonts w:ascii="Times New Roman" w:eastAsia="Times New Roman"/>
        </w:rPr>
      </w:pPr>
      <w:r>
        <w:rPr>
          <w:spacing w:val="-3"/>
        </w:rPr>
        <w:t>我</w:t>
      </w:r>
      <w:r>
        <w:rPr/>
        <w:t>方</w:t>
      </w:r>
      <w:r>
        <w:rPr>
          <w:spacing w:val="-3"/>
        </w:rPr>
        <w:t>已</w:t>
      </w:r>
      <w:r>
        <w:rPr/>
        <w:t>接</w:t>
      </w:r>
      <w:r>
        <w:rPr>
          <w:spacing w:val="-3"/>
        </w:rPr>
        <w:t>受</w:t>
      </w:r>
      <w:r>
        <w:rPr>
          <w:spacing w:val="-3"/>
          <w:u w:val="single"/>
        </w:rPr>
        <w:t> </w:t>
        <w:tab/>
      </w:r>
      <w:r>
        <w:rPr>
          <w:u w:val="single"/>
        </w:rPr>
        <w:t>（</w:t>
      </w:r>
      <w:r>
        <w:rPr>
          <w:spacing w:val="-38"/>
        </w:rPr>
        <w:t> </w:t>
      </w:r>
      <w:r>
        <w:rPr>
          <w:spacing w:val="-3"/>
        </w:rPr>
        <w:t>中</w:t>
      </w:r>
      <w:r>
        <w:rPr/>
        <w:t>标</w:t>
      </w:r>
      <w:r>
        <w:rPr>
          <w:spacing w:val="-3"/>
        </w:rPr>
        <w:t>人</w:t>
      </w:r>
      <w:r>
        <w:rPr/>
        <w:t>名</w:t>
      </w:r>
      <w:r>
        <w:rPr>
          <w:spacing w:val="-3"/>
        </w:rPr>
        <w:t>称</w:t>
      </w:r>
      <w:r>
        <w:rPr/>
        <w:t>）于</w:t>
      </w:r>
      <w:r>
        <w:rPr>
          <w:u w:val="single"/>
        </w:rPr>
        <w:t> </w:t>
        <w:tab/>
      </w:r>
      <w:r>
        <w:rPr>
          <w:spacing w:val="-3"/>
          <w:w w:val="95"/>
        </w:rPr>
        <w:t>（</w:t>
      </w:r>
      <w:r>
        <w:rPr>
          <w:w w:val="95"/>
        </w:rPr>
        <w:t>投</w:t>
      </w:r>
      <w:r>
        <w:rPr>
          <w:spacing w:val="-3"/>
          <w:w w:val="95"/>
        </w:rPr>
        <w:t>标</w:t>
      </w:r>
      <w:r>
        <w:rPr>
          <w:w w:val="95"/>
        </w:rPr>
        <w:t>日</w:t>
      </w:r>
      <w:r>
        <w:rPr>
          <w:spacing w:val="-3"/>
          <w:w w:val="95"/>
        </w:rPr>
        <w:t>期</w:t>
      </w:r>
      <w:r>
        <w:rPr>
          <w:w w:val="95"/>
        </w:rPr>
        <w:t>）</w:t>
      </w:r>
      <w:r>
        <w:rPr>
          <w:spacing w:val="-3"/>
          <w:w w:val="95"/>
        </w:rPr>
        <w:t>所</w:t>
      </w:r>
      <w:r>
        <w:rPr>
          <w:w w:val="95"/>
        </w:rPr>
        <w:t>递交</w:t>
      </w:r>
      <w:r>
        <w:rPr>
          <w:spacing w:val="-3"/>
          <w:w w:val="95"/>
        </w:rPr>
        <w:t>的</w:t>
      </w:r>
      <w:r>
        <w:rPr>
          <w:rFonts w:ascii="Times New Roman" w:eastAsia="Times New Roman"/>
          <w:w w:val="95"/>
          <w:u w:val="single"/>
        </w:rPr>
        <w:t> </w:t>
      </w:r>
      <w:r>
        <w:rPr>
          <w:rFonts w:ascii="Times New Roman" w:eastAsia="Times New Roman"/>
          <w:u w:val="single"/>
        </w:rPr>
        <w:tab/>
      </w:r>
    </w:p>
    <w:p>
      <w:pPr>
        <w:pStyle w:val="BodyText"/>
        <w:tabs>
          <w:tab w:pos="5890" w:val="left" w:leader="none"/>
        </w:tabs>
        <w:spacing w:line="525" w:lineRule="auto" w:before="166"/>
        <w:ind w:left="548" w:right="1737" w:hanging="432"/>
      </w:pPr>
      <w:r>
        <w:rPr>
          <w:u w:val="single"/>
        </w:rPr>
        <w:t>(</w:t>
      </w:r>
      <w:r>
        <w:rPr>
          <w:spacing w:val="2"/>
        </w:rPr>
        <w:t> </w:t>
      </w:r>
      <w:r>
        <w:rPr>
          <w:spacing w:val="5"/>
        </w:rPr>
        <w:t>项目</w:t>
      </w:r>
      <w:r>
        <w:rPr>
          <w:spacing w:val="7"/>
        </w:rPr>
        <w:t>名</w:t>
      </w:r>
      <w:r>
        <w:rPr>
          <w:spacing w:val="5"/>
        </w:rPr>
        <w:t>称）招</w:t>
      </w:r>
      <w:r>
        <w:rPr>
          <w:spacing w:val="7"/>
        </w:rPr>
        <w:t>标</w:t>
      </w:r>
      <w:r>
        <w:rPr>
          <w:spacing w:val="5"/>
        </w:rPr>
        <w:t>的投标</w:t>
      </w:r>
      <w:r>
        <w:rPr>
          <w:spacing w:val="7"/>
        </w:rPr>
        <w:t>文</w:t>
      </w:r>
      <w:r>
        <w:rPr>
          <w:spacing w:val="5"/>
        </w:rPr>
        <w:t>件，确</w:t>
      </w:r>
      <w:r>
        <w:rPr>
          <w:spacing w:val="10"/>
        </w:rPr>
        <w:t>定</w:t>
      </w:r>
      <w:r>
        <w:rPr>
          <w:spacing w:val="10"/>
          <w:u w:val="single"/>
        </w:rPr>
        <w:t> </w:t>
        <w:tab/>
      </w:r>
      <w:r>
        <w:rPr>
          <w:spacing w:val="5"/>
        </w:rPr>
        <w:t>（中</w:t>
      </w:r>
      <w:r>
        <w:rPr>
          <w:spacing w:val="7"/>
        </w:rPr>
        <w:t>标</w:t>
      </w:r>
      <w:r>
        <w:rPr>
          <w:spacing w:val="5"/>
        </w:rPr>
        <w:t>人名称</w:t>
      </w:r>
      <w:r>
        <w:rPr>
          <w:spacing w:val="7"/>
        </w:rPr>
        <w:t>）</w:t>
      </w:r>
      <w:r>
        <w:rPr>
          <w:spacing w:val="5"/>
        </w:rPr>
        <w:t>为中标</w:t>
      </w:r>
      <w:r>
        <w:rPr>
          <w:spacing w:val="7"/>
        </w:rPr>
        <w:t>人</w:t>
      </w:r>
      <w:r>
        <w:rPr/>
        <w:t>。</w:t>
      </w:r>
      <w:r>
        <w:rPr>
          <w:spacing w:val="7"/>
        </w:rPr>
        <w:t>感</w:t>
      </w:r>
      <w:r>
        <w:rPr>
          <w:spacing w:val="5"/>
        </w:rPr>
        <w:t>谢</w:t>
      </w:r>
      <w:r>
        <w:rPr>
          <w:spacing w:val="7"/>
        </w:rPr>
        <w:t>你单</w:t>
      </w:r>
      <w:r>
        <w:rPr>
          <w:spacing w:val="5"/>
        </w:rPr>
        <w:t>位</w:t>
      </w:r>
      <w:r>
        <w:rPr>
          <w:spacing w:val="7"/>
        </w:rPr>
        <w:t>对招</w:t>
      </w:r>
      <w:r>
        <w:rPr>
          <w:spacing w:val="5"/>
        </w:rPr>
        <w:t>标</w:t>
      </w:r>
      <w:r>
        <w:rPr>
          <w:spacing w:val="7"/>
        </w:rPr>
        <w:t>项目</w:t>
      </w:r>
      <w:r>
        <w:rPr>
          <w:spacing w:val="5"/>
        </w:rPr>
        <w:t>的</w:t>
      </w:r>
      <w:r>
        <w:rPr>
          <w:spacing w:val="7"/>
        </w:rPr>
        <w:t>参与</w:t>
      </w:r>
      <w:r>
        <w:rPr/>
        <w:t>！</w:t>
      </w: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9"/>
        </w:rPr>
      </w:pPr>
    </w:p>
    <w:p>
      <w:pPr>
        <w:pStyle w:val="BodyText"/>
        <w:tabs>
          <w:tab w:pos="6516" w:val="left" w:leader="none"/>
        </w:tabs>
        <w:ind w:left="4023"/>
      </w:pPr>
      <w:r>
        <w:rPr>
          <w:spacing w:val="10"/>
        </w:rPr>
        <w:t>招标人</w:t>
      </w:r>
      <w:r>
        <w:rPr>
          <w:spacing w:val="-5"/>
        </w:rPr>
        <w:t>：</w:t>
      </w:r>
      <w:r>
        <w:rPr>
          <w:spacing w:val="-5"/>
          <w:u w:val="single"/>
        </w:rPr>
        <w:t> </w:t>
        <w:tab/>
      </w:r>
      <w:r>
        <w:rPr>
          <w:spacing w:val="-5"/>
        </w:rPr>
        <w:t>（</w:t>
      </w:r>
      <w:r>
        <w:rPr>
          <w:spacing w:val="10"/>
        </w:rPr>
        <w:t>盖单位章</w:t>
      </w:r>
      <w:r>
        <w:rPr/>
        <w:t>）</w:t>
      </w:r>
    </w:p>
    <w:p>
      <w:pPr>
        <w:pStyle w:val="BodyText"/>
        <w:spacing w:before="9"/>
        <w:rPr>
          <w:sz w:val="17"/>
        </w:rPr>
      </w:pPr>
    </w:p>
    <w:p>
      <w:pPr>
        <w:pStyle w:val="BodyText"/>
        <w:tabs>
          <w:tab w:pos="5244" w:val="left" w:leader="none"/>
          <w:tab w:pos="6089" w:val="left" w:leader="none"/>
          <w:tab w:pos="6960" w:val="left" w:leader="none"/>
        </w:tabs>
        <w:spacing w:before="71"/>
        <w:ind w:left="4445"/>
      </w:pPr>
      <w:r>
        <w:rPr>
          <w:rFonts w:ascii="Times New Roman" w:eastAsia="Times New Roman"/>
          <w:w w:val="99"/>
          <w:u w:val="single"/>
        </w:rPr>
        <w:t> </w:t>
      </w:r>
      <w:r>
        <w:rPr>
          <w:rFonts w:ascii="Times New Roman" w:eastAsia="Times New Roman"/>
          <w:u w:val="single"/>
        </w:rPr>
        <w:tab/>
      </w:r>
      <w:r>
        <w:rPr/>
        <w:t>年</w:t>
      </w:r>
      <w:r>
        <w:rPr>
          <w:u w:val="single"/>
        </w:rPr>
        <w:t> </w:t>
        <w:tab/>
      </w:r>
      <w:r>
        <w:rPr/>
        <w:t>月</w:t>
      </w:r>
      <w:r>
        <w:rPr>
          <w:u w:val="single"/>
        </w:rPr>
        <w:t> </w:t>
        <w:tab/>
      </w:r>
      <w:r>
        <w:rPr/>
        <w:t>日</w:t>
      </w:r>
    </w:p>
    <w:p>
      <w:pPr>
        <w:spacing w:after="0"/>
        <w:sectPr>
          <w:pgSz w:w="11910" w:h="16840"/>
          <w:pgMar w:header="0" w:footer="766" w:top="1500" w:bottom="960" w:left="1300" w:right="500"/>
        </w:sectPr>
      </w:pPr>
    </w:p>
    <w:p>
      <w:pPr>
        <w:pStyle w:val="Heading7"/>
        <w:spacing w:before="34"/>
        <w:ind w:left="819"/>
        <w:rPr>
          <w:rFonts w:ascii="宋体" w:eastAsia="宋体" w:hint="eastAsia"/>
        </w:rPr>
      </w:pPr>
      <w:r>
        <w:rPr>
          <w:rFonts w:ascii="宋体" w:eastAsia="宋体" w:hint="eastAsia"/>
        </w:rPr>
        <w:t>附件六：确认通知</w:t>
      </w:r>
    </w:p>
    <w:p>
      <w:pPr>
        <w:pStyle w:val="BodyText"/>
      </w:pPr>
    </w:p>
    <w:p>
      <w:pPr>
        <w:pStyle w:val="BodyText"/>
        <w:spacing w:before="7"/>
        <w:rPr>
          <w:sz w:val="27"/>
        </w:rPr>
      </w:pPr>
    </w:p>
    <w:p>
      <w:pPr>
        <w:pStyle w:val="Heading7"/>
        <w:spacing w:before="62"/>
        <w:ind w:left="302" w:right="1161"/>
        <w:jc w:val="center"/>
        <w:rPr>
          <w:rFonts w:ascii="宋体" w:eastAsia="宋体" w:hint="eastAsia"/>
        </w:rPr>
      </w:pPr>
      <w:r>
        <w:rPr>
          <w:rFonts w:ascii="宋体" w:eastAsia="宋体" w:hint="eastAsia"/>
        </w:rPr>
        <w:t>确认通知</w:t>
      </w:r>
    </w:p>
    <w:p>
      <w:pPr>
        <w:pStyle w:val="BodyText"/>
        <w:spacing w:before="1"/>
        <w:rPr>
          <w:sz w:val="21"/>
        </w:rPr>
      </w:pPr>
    </w:p>
    <w:p>
      <w:pPr>
        <w:pStyle w:val="BodyText"/>
        <w:tabs>
          <w:tab w:pos="2295" w:val="left" w:leader="none"/>
        </w:tabs>
        <w:spacing w:before="77"/>
        <w:ind w:left="506"/>
      </w:pPr>
      <w:r>
        <w:rPr>
          <w:rFonts w:ascii="Times New Roman" w:eastAsia="Times New Roman"/>
          <w:w w:val="99"/>
          <w:u w:val="single"/>
        </w:rPr>
        <w:t> </w:t>
      </w:r>
      <w:r>
        <w:rPr>
          <w:rFonts w:ascii="Times New Roman" w:eastAsia="Times New Roman"/>
          <w:u w:val="single"/>
        </w:rPr>
        <w:tab/>
      </w:r>
      <w:r>
        <w:rPr>
          <w:spacing w:val="7"/>
        </w:rPr>
        <w:t>（招标人名称</w:t>
      </w:r>
      <w:r>
        <w:rPr/>
        <w:t>）：</w:t>
      </w:r>
    </w:p>
    <w:p>
      <w:pPr>
        <w:pStyle w:val="BodyText"/>
        <w:rPr>
          <w:sz w:val="22"/>
        </w:rPr>
      </w:pPr>
    </w:p>
    <w:p>
      <w:pPr>
        <w:pStyle w:val="BodyText"/>
        <w:spacing w:before="4"/>
        <w:rPr>
          <w:sz w:val="24"/>
        </w:rPr>
      </w:pPr>
    </w:p>
    <w:p>
      <w:pPr>
        <w:pStyle w:val="BodyText"/>
        <w:tabs>
          <w:tab w:pos="1896" w:val="left" w:leader="none"/>
          <w:tab w:pos="2856" w:val="left" w:leader="none"/>
          <w:tab w:pos="3593" w:val="left" w:leader="none"/>
          <w:tab w:pos="3850" w:val="left" w:leader="none"/>
          <w:tab w:pos="4548" w:val="left" w:leader="none"/>
          <w:tab w:pos="5525" w:val="left" w:leader="none"/>
          <w:tab w:pos="5657" w:val="left" w:leader="none"/>
        </w:tabs>
        <w:spacing w:line="405" w:lineRule="auto"/>
        <w:ind w:left="115" w:right="1247" w:firstLine="403"/>
      </w:pPr>
      <w:r>
        <w:rPr>
          <w:spacing w:val="7"/>
        </w:rPr>
        <w:t>你</w:t>
      </w:r>
      <w:r>
        <w:rPr>
          <w:spacing w:val="5"/>
        </w:rPr>
        <w:t>方</w:t>
      </w:r>
      <w:r>
        <w:rPr>
          <w:spacing w:val="10"/>
        </w:rPr>
        <w:t>于</w:t>
      </w:r>
      <w:r>
        <w:rPr>
          <w:spacing w:val="10"/>
          <w:u w:val="single"/>
        </w:rPr>
        <w:t> </w:t>
        <w:tab/>
      </w:r>
      <w:r>
        <w:rPr>
          <w:spacing w:val="10"/>
        </w:rPr>
        <w:t>年</w:t>
      </w:r>
      <w:r>
        <w:rPr>
          <w:spacing w:val="10"/>
          <w:u w:val="single"/>
        </w:rPr>
        <w:t> </w:t>
        <w:tab/>
      </w:r>
      <w:r>
        <w:rPr>
          <w:spacing w:val="10"/>
        </w:rPr>
        <w:t>月</w:t>
      </w:r>
      <w:r>
        <w:rPr>
          <w:spacing w:val="10"/>
          <w:u w:val="single"/>
        </w:rPr>
        <w:t> </w:t>
        <w:tab/>
        <w:tab/>
      </w:r>
      <w:r>
        <w:rPr>
          <w:spacing w:val="7"/>
        </w:rPr>
        <w:t>日</w:t>
      </w:r>
      <w:r>
        <w:rPr>
          <w:spacing w:val="5"/>
        </w:rPr>
        <w:t>发</w:t>
      </w:r>
      <w:r>
        <w:rPr>
          <w:spacing w:val="7"/>
        </w:rPr>
        <w:t>出</w:t>
      </w:r>
      <w:r>
        <w:rPr>
          <w:spacing w:val="10"/>
        </w:rPr>
        <w:t>的</w:t>
      </w:r>
      <w:r>
        <w:rPr>
          <w:spacing w:val="10"/>
          <w:u w:val="single"/>
        </w:rPr>
        <w:t> </w:t>
        <w:tab/>
        <w:tab/>
      </w:r>
      <w:r>
        <w:rPr>
          <w:spacing w:val="7"/>
        </w:rPr>
        <w:t>（</w:t>
      </w:r>
      <w:r>
        <w:rPr>
          <w:spacing w:val="5"/>
        </w:rPr>
        <w:t>项目名</w:t>
      </w:r>
      <w:r>
        <w:rPr>
          <w:spacing w:val="7"/>
        </w:rPr>
        <w:t>称</w:t>
      </w:r>
      <w:r>
        <w:rPr>
          <w:spacing w:val="5"/>
        </w:rPr>
        <w:t>）招标</w:t>
      </w:r>
      <w:r>
        <w:rPr>
          <w:spacing w:val="7"/>
        </w:rPr>
        <w:t>关</w:t>
      </w:r>
      <w:r>
        <w:rPr>
          <w:spacing w:val="5"/>
        </w:rPr>
        <w:t>于</w:t>
      </w:r>
      <w:r>
        <w:rPr>
          <w:spacing w:val="5"/>
          <w:u w:val="single"/>
        </w:rPr>
        <w:t>招标</w:t>
      </w:r>
      <w:r>
        <w:rPr>
          <w:spacing w:val="7"/>
          <w:u w:val="single"/>
        </w:rPr>
        <w:t>文</w:t>
      </w:r>
      <w:r>
        <w:rPr>
          <w:u w:val="single"/>
        </w:rPr>
        <w:t>件</w:t>
      </w:r>
      <w:r>
        <w:rPr>
          <w:spacing w:val="5"/>
        </w:rPr>
        <w:t> </w:t>
      </w:r>
      <w:r>
        <w:rPr/>
        <w:t>的</w:t>
      </w:r>
      <w:r>
        <w:rPr>
          <w:spacing w:val="5"/>
          <w:u w:val="single"/>
        </w:rPr>
        <w:t>澄清</w:t>
      </w:r>
      <w:r>
        <w:rPr>
          <w:rFonts w:ascii="Calibri" w:eastAsia="Calibri"/>
          <w:spacing w:val="2"/>
          <w:u w:val="single"/>
        </w:rPr>
        <w:t>/</w:t>
      </w:r>
      <w:r>
        <w:rPr>
          <w:spacing w:val="5"/>
          <w:u w:val="single"/>
        </w:rPr>
        <w:t>修改</w:t>
      </w:r>
      <w:r>
        <w:rPr>
          <w:spacing w:val="5"/>
        </w:rPr>
        <w:t>的通知，我方已</w:t>
      </w:r>
      <w:r>
        <w:rPr>
          <w:spacing w:val="2"/>
        </w:rPr>
        <w:t>于</w:t>
      </w:r>
      <w:r>
        <w:rPr>
          <w:spacing w:val="2"/>
          <w:u w:val="single"/>
        </w:rPr>
        <w:t> </w:t>
        <w:tab/>
        <w:tab/>
      </w:r>
      <w:r>
        <w:rPr>
          <w:spacing w:val="5"/>
        </w:rPr>
        <w:t>年</w:t>
      </w:r>
      <w:r>
        <w:rPr>
          <w:spacing w:val="5"/>
          <w:u w:val="single"/>
        </w:rPr>
        <w:t> </w:t>
        <w:tab/>
      </w:r>
      <w:r>
        <w:rPr>
          <w:spacing w:val="2"/>
        </w:rPr>
        <w:t>月</w:t>
      </w:r>
      <w:r>
        <w:rPr>
          <w:spacing w:val="2"/>
          <w:u w:val="single"/>
        </w:rPr>
        <w:t> </w:t>
        <w:tab/>
      </w:r>
      <w:r>
        <w:rPr>
          <w:spacing w:val="5"/>
        </w:rPr>
        <w:t>日收到</w:t>
      </w:r>
      <w:r>
        <w:rPr/>
        <w:t>。</w:t>
      </w:r>
    </w:p>
    <w:p>
      <w:pPr>
        <w:pStyle w:val="BodyText"/>
        <w:spacing w:before="113"/>
        <w:ind w:left="535"/>
      </w:pPr>
      <w:r>
        <w:rPr/>
        <w:t>特此确认。</w:t>
      </w:r>
    </w:p>
    <w:p>
      <w:pPr>
        <w:pStyle w:val="BodyText"/>
      </w:pPr>
    </w:p>
    <w:p>
      <w:pPr>
        <w:pStyle w:val="BodyText"/>
      </w:pPr>
    </w:p>
    <w:p>
      <w:pPr>
        <w:pStyle w:val="BodyText"/>
        <w:spacing w:before="6"/>
        <w:rPr>
          <w:sz w:val="24"/>
        </w:rPr>
      </w:pPr>
    </w:p>
    <w:p>
      <w:pPr>
        <w:pStyle w:val="BodyText"/>
        <w:tabs>
          <w:tab w:pos="4803" w:val="left" w:leader="none"/>
        </w:tabs>
        <w:ind w:left="2936"/>
      </w:pPr>
      <w:r>
        <w:rPr>
          <w:spacing w:val="10"/>
        </w:rPr>
        <w:t>投标人</w:t>
      </w:r>
      <w:r>
        <w:rPr>
          <w:spacing w:val="-5"/>
        </w:rPr>
        <w:t>：</w:t>
      </w:r>
      <w:r>
        <w:rPr>
          <w:spacing w:val="-5"/>
          <w:u w:val="single"/>
        </w:rPr>
        <w:t> </w:t>
        <w:tab/>
      </w:r>
      <w:r>
        <w:rPr>
          <w:spacing w:val="-5"/>
        </w:rPr>
        <w:t>（</w:t>
      </w:r>
      <w:r>
        <w:rPr>
          <w:spacing w:val="10"/>
        </w:rPr>
        <w:t>盖单位章</w:t>
      </w:r>
      <w:r>
        <w:rPr/>
        <w:t>）</w:t>
      </w:r>
    </w:p>
    <w:p>
      <w:pPr>
        <w:pStyle w:val="BodyText"/>
        <w:rPr>
          <w:sz w:val="22"/>
        </w:rPr>
      </w:pPr>
    </w:p>
    <w:p>
      <w:pPr>
        <w:pStyle w:val="BodyText"/>
        <w:tabs>
          <w:tab w:pos="7476" w:val="left" w:leader="none"/>
        </w:tabs>
        <w:spacing w:before="146"/>
        <w:ind w:left="2936"/>
      </w:pPr>
      <w:r>
        <w:rPr>
          <w:spacing w:val="7"/>
        </w:rPr>
        <w:t>法</w:t>
      </w:r>
      <w:r>
        <w:rPr>
          <w:spacing w:val="10"/>
        </w:rPr>
        <w:t>定</w:t>
      </w:r>
      <w:r>
        <w:rPr>
          <w:spacing w:val="7"/>
        </w:rPr>
        <w:t>代</w:t>
      </w:r>
      <w:r>
        <w:rPr>
          <w:spacing w:val="10"/>
        </w:rPr>
        <w:t>表</w:t>
      </w:r>
      <w:r>
        <w:rPr>
          <w:spacing w:val="7"/>
        </w:rPr>
        <w:t>人</w:t>
      </w:r>
      <w:r>
        <w:rPr>
          <w:spacing w:val="10"/>
        </w:rPr>
        <w:t>或</w:t>
      </w:r>
      <w:r>
        <w:rPr>
          <w:spacing w:val="7"/>
        </w:rPr>
        <w:t>委</w:t>
      </w:r>
      <w:r>
        <w:rPr>
          <w:spacing w:val="10"/>
        </w:rPr>
        <w:t>托</w:t>
      </w:r>
      <w:r>
        <w:rPr>
          <w:spacing w:val="7"/>
        </w:rPr>
        <w:t>代</w:t>
      </w:r>
      <w:r>
        <w:rPr>
          <w:spacing w:val="10"/>
        </w:rPr>
        <w:t>理</w:t>
      </w:r>
      <w:r>
        <w:rPr>
          <w:spacing w:val="7"/>
        </w:rPr>
        <w:t>人</w:t>
      </w:r>
      <w:r>
        <w:rPr>
          <w:spacing w:val="-8"/>
        </w:rPr>
        <w:t>：</w:t>
      </w:r>
      <w:r>
        <w:rPr>
          <w:spacing w:val="-8"/>
          <w:u w:val="single"/>
        </w:rPr>
        <w:t> </w:t>
        <w:tab/>
      </w:r>
      <w:r>
        <w:rPr>
          <w:spacing w:val="-5"/>
        </w:rPr>
        <w:t>（</w:t>
      </w:r>
      <w:r>
        <w:rPr>
          <w:spacing w:val="7"/>
        </w:rPr>
        <w:t>签</w:t>
      </w:r>
      <w:r>
        <w:rPr>
          <w:spacing w:val="10"/>
        </w:rPr>
        <w:t>字</w:t>
      </w:r>
      <w:r>
        <w:rPr/>
        <w:t>）</w:t>
      </w:r>
    </w:p>
    <w:p>
      <w:pPr>
        <w:pStyle w:val="BodyText"/>
      </w:pPr>
    </w:p>
    <w:p>
      <w:pPr>
        <w:pStyle w:val="BodyText"/>
      </w:pPr>
    </w:p>
    <w:p>
      <w:pPr>
        <w:pStyle w:val="BodyText"/>
        <w:spacing w:before="3"/>
      </w:pPr>
    </w:p>
    <w:p>
      <w:pPr>
        <w:pStyle w:val="BodyText"/>
        <w:tabs>
          <w:tab w:pos="6646" w:val="left" w:leader="none"/>
          <w:tab w:pos="7594" w:val="left" w:leader="none"/>
          <w:tab w:pos="8569" w:val="left" w:leader="none"/>
        </w:tabs>
        <w:spacing w:before="71"/>
        <w:ind w:left="5916"/>
      </w:pPr>
      <w:r>
        <w:rPr>
          <w:rFonts w:ascii="Times New Roman" w:eastAsia="Times New Roman"/>
          <w:w w:val="99"/>
          <w:u w:val="single"/>
        </w:rPr>
        <w:t> </w:t>
      </w:r>
      <w:r>
        <w:rPr>
          <w:rFonts w:ascii="Times New Roman" w:eastAsia="Times New Roman"/>
          <w:u w:val="single"/>
        </w:rPr>
        <w:tab/>
      </w:r>
      <w:r>
        <w:rPr/>
        <w:t>年</w:t>
      </w:r>
      <w:r>
        <w:rPr>
          <w:u w:val="single"/>
        </w:rPr>
        <w:t> </w:t>
        <w:tab/>
      </w:r>
      <w:r>
        <w:rPr/>
        <w:t>月</w:t>
      </w:r>
      <w:r>
        <w:rPr>
          <w:u w:val="single"/>
        </w:rPr>
        <w:t> </w:t>
        <w:tab/>
      </w:r>
      <w:r>
        <w:rPr/>
        <w:t>日</w:t>
      </w:r>
    </w:p>
    <w:p>
      <w:pPr>
        <w:spacing w:after="0"/>
        <w:sectPr>
          <w:pgSz w:w="11910" w:h="16840"/>
          <w:pgMar w:header="0" w:footer="766" w:top="1500" w:bottom="960" w:left="1300" w:right="500"/>
        </w:sectPr>
      </w:pPr>
    </w:p>
    <w:p>
      <w:pPr>
        <w:pStyle w:val="Heading1"/>
        <w:ind w:right="1155"/>
        <w:jc w:val="center"/>
      </w:pPr>
      <w:bookmarkStart w:name="第三章 评标办法（综合评估法）" w:id="5"/>
      <w:bookmarkEnd w:id="5"/>
      <w:r>
        <w:rPr>
          <w:b w:val="0"/>
        </w:rPr>
      </w:r>
      <w:bookmarkStart w:name="_bookmark2" w:id="6"/>
      <w:bookmarkEnd w:id="6"/>
      <w:r>
        <w:rPr>
          <w:b w:val="0"/>
        </w:rPr>
      </w:r>
      <w:r>
        <w:rPr/>
        <w:t>第三章 评标办法（综合评估法）</w:t>
      </w:r>
    </w:p>
    <w:p>
      <w:pPr>
        <w:pStyle w:val="BodyText"/>
        <w:spacing w:before="2"/>
        <w:rPr>
          <w:b/>
          <w:sz w:val="41"/>
        </w:rPr>
      </w:pPr>
    </w:p>
    <w:p>
      <w:pPr>
        <w:pStyle w:val="Heading3"/>
        <w:ind w:right="957"/>
        <w:jc w:val="center"/>
      </w:pPr>
      <w:r>
        <w:rPr/>
        <w:t>评标办法前附表</w:t>
      </w:r>
    </w:p>
    <w:p>
      <w:pPr>
        <w:pStyle w:val="BodyText"/>
        <w:spacing w:before="1" w:after="1"/>
        <w:rPr>
          <w:b/>
          <w:sz w:val="15"/>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96"/>
        <w:gridCol w:w="1154"/>
        <w:gridCol w:w="2436"/>
        <w:gridCol w:w="4762"/>
      </w:tblGrid>
      <w:tr>
        <w:trPr>
          <w:trHeight w:val="447" w:hRule="atLeast"/>
        </w:trPr>
        <w:tc>
          <w:tcPr>
            <w:tcW w:w="2050" w:type="dxa"/>
            <w:gridSpan w:val="2"/>
          </w:tcPr>
          <w:p>
            <w:pPr>
              <w:pStyle w:val="TableParagraph"/>
              <w:spacing w:before="42"/>
              <w:ind w:left="928"/>
              <w:rPr>
                <w:b/>
                <w:sz w:val="20"/>
              </w:rPr>
            </w:pPr>
            <w:r>
              <w:rPr>
                <w:b/>
                <w:sz w:val="20"/>
              </w:rPr>
              <w:t>条款号</w:t>
            </w:r>
          </w:p>
        </w:tc>
        <w:tc>
          <w:tcPr>
            <w:tcW w:w="2436" w:type="dxa"/>
          </w:tcPr>
          <w:p>
            <w:pPr>
              <w:pStyle w:val="TableParagraph"/>
              <w:spacing w:before="42"/>
              <w:ind w:left="1011"/>
              <w:rPr>
                <w:b/>
                <w:sz w:val="20"/>
              </w:rPr>
            </w:pPr>
            <w:r>
              <w:rPr>
                <w:b/>
                <w:sz w:val="20"/>
              </w:rPr>
              <w:t>评审因素</w:t>
            </w:r>
          </w:p>
        </w:tc>
        <w:tc>
          <w:tcPr>
            <w:tcW w:w="4762" w:type="dxa"/>
          </w:tcPr>
          <w:p>
            <w:pPr>
              <w:pStyle w:val="TableParagraph"/>
              <w:spacing w:before="42"/>
              <w:ind w:left="2160" w:right="1753"/>
              <w:jc w:val="center"/>
              <w:rPr>
                <w:b/>
                <w:sz w:val="20"/>
              </w:rPr>
            </w:pPr>
            <w:r>
              <w:rPr>
                <w:b/>
                <w:sz w:val="20"/>
              </w:rPr>
              <w:t>评审标准</w:t>
            </w:r>
          </w:p>
        </w:tc>
      </w:tr>
      <w:tr>
        <w:trPr>
          <w:trHeight w:val="1637" w:hRule="atLeast"/>
        </w:trPr>
        <w:tc>
          <w:tcPr>
            <w:tcW w:w="896" w:type="dxa"/>
          </w:tcPr>
          <w:p>
            <w:pPr>
              <w:pStyle w:val="TableParagraph"/>
              <w:rPr>
                <w:b/>
                <w:sz w:val="20"/>
              </w:rPr>
            </w:pPr>
          </w:p>
          <w:p>
            <w:pPr>
              <w:pStyle w:val="TableParagraph"/>
              <w:spacing w:before="6"/>
              <w:rPr>
                <w:b/>
                <w:sz w:val="29"/>
              </w:rPr>
            </w:pPr>
          </w:p>
          <w:p>
            <w:pPr>
              <w:pStyle w:val="TableParagraph"/>
              <w:ind w:left="551"/>
              <w:rPr>
                <w:sz w:val="20"/>
              </w:rPr>
            </w:pPr>
            <w:r>
              <w:rPr>
                <w:w w:val="99"/>
                <w:sz w:val="20"/>
              </w:rPr>
              <w:t>1</w:t>
            </w:r>
          </w:p>
        </w:tc>
        <w:tc>
          <w:tcPr>
            <w:tcW w:w="1154" w:type="dxa"/>
          </w:tcPr>
          <w:p>
            <w:pPr>
              <w:pStyle w:val="TableParagraph"/>
              <w:rPr>
                <w:b/>
                <w:sz w:val="20"/>
              </w:rPr>
            </w:pPr>
          </w:p>
          <w:p>
            <w:pPr>
              <w:pStyle w:val="TableParagraph"/>
              <w:spacing w:before="6"/>
              <w:rPr>
                <w:b/>
                <w:sz w:val="29"/>
              </w:rPr>
            </w:pPr>
          </w:p>
          <w:p>
            <w:pPr>
              <w:pStyle w:val="TableParagraph"/>
              <w:ind w:left="111"/>
              <w:rPr>
                <w:sz w:val="20"/>
              </w:rPr>
            </w:pPr>
            <w:r>
              <w:rPr>
                <w:sz w:val="20"/>
              </w:rPr>
              <w:t>评标方法</w:t>
            </w:r>
          </w:p>
        </w:tc>
        <w:tc>
          <w:tcPr>
            <w:tcW w:w="2436" w:type="dxa"/>
          </w:tcPr>
          <w:p>
            <w:pPr>
              <w:pStyle w:val="TableParagraph"/>
              <w:rPr>
                <w:b/>
                <w:sz w:val="20"/>
              </w:rPr>
            </w:pPr>
          </w:p>
          <w:p>
            <w:pPr>
              <w:pStyle w:val="TableParagraph"/>
              <w:spacing w:before="6"/>
              <w:rPr>
                <w:b/>
                <w:sz w:val="29"/>
              </w:rPr>
            </w:pPr>
          </w:p>
          <w:p>
            <w:pPr>
              <w:pStyle w:val="TableParagraph"/>
              <w:ind w:right="282"/>
              <w:jc w:val="right"/>
              <w:rPr>
                <w:sz w:val="20"/>
              </w:rPr>
            </w:pPr>
            <w:r>
              <w:rPr>
                <w:w w:val="95"/>
                <w:sz w:val="20"/>
              </w:rPr>
              <w:t>中标候选人排序方法</w:t>
            </w:r>
          </w:p>
        </w:tc>
        <w:tc>
          <w:tcPr>
            <w:tcW w:w="4762" w:type="dxa"/>
          </w:tcPr>
          <w:p>
            <w:pPr>
              <w:pStyle w:val="TableParagraph"/>
              <w:spacing w:line="372" w:lineRule="auto" w:before="34"/>
              <w:ind w:left="176" w:right="184" w:firstLine="420"/>
              <w:jc w:val="both"/>
              <w:rPr>
                <w:sz w:val="20"/>
              </w:rPr>
            </w:pPr>
            <w:r>
              <w:rPr>
                <w:sz w:val="20"/>
              </w:rPr>
              <w:t>评标委员会采用综合评估法对投标文件进行评审和比较，完成评标后向招标人提交书面评标报告，推荐1-3 名合格的中标候选人，招标人根</w:t>
            </w:r>
          </w:p>
          <w:p>
            <w:pPr>
              <w:pStyle w:val="TableParagraph"/>
              <w:spacing w:before="1"/>
              <w:ind w:left="176"/>
              <w:rPr>
                <w:sz w:val="20"/>
              </w:rPr>
            </w:pPr>
            <w:r>
              <w:rPr>
                <w:sz w:val="20"/>
              </w:rPr>
              <w:t>据推荐名单确定中标人。</w:t>
            </w:r>
          </w:p>
        </w:tc>
      </w:tr>
      <w:tr>
        <w:trPr>
          <w:trHeight w:val="571" w:hRule="atLeast"/>
        </w:trPr>
        <w:tc>
          <w:tcPr>
            <w:tcW w:w="896"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8"/>
              </w:rPr>
            </w:pPr>
          </w:p>
          <w:p>
            <w:pPr>
              <w:pStyle w:val="TableParagraph"/>
              <w:spacing w:before="1"/>
              <w:ind w:left="119"/>
              <w:rPr>
                <w:sz w:val="20"/>
              </w:rPr>
            </w:pPr>
            <w:r>
              <w:rPr>
                <w:sz w:val="20"/>
              </w:rPr>
              <w:t>2.1.1</w:t>
            </w:r>
          </w:p>
        </w:tc>
        <w:tc>
          <w:tcPr>
            <w:tcW w:w="1154"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367" w:lineRule="auto" w:before="177"/>
              <w:ind w:left="113" w:right="217"/>
              <w:rPr>
                <w:sz w:val="20"/>
              </w:rPr>
            </w:pPr>
            <w:r>
              <w:rPr>
                <w:sz w:val="20"/>
              </w:rPr>
              <w:t>形式评审标准</w:t>
            </w:r>
          </w:p>
        </w:tc>
        <w:tc>
          <w:tcPr>
            <w:tcW w:w="2436" w:type="dxa"/>
          </w:tcPr>
          <w:p>
            <w:pPr>
              <w:pStyle w:val="TableParagraph"/>
              <w:spacing w:before="104"/>
              <w:ind w:left="536"/>
              <w:rPr>
                <w:sz w:val="20"/>
              </w:rPr>
            </w:pPr>
            <w:r>
              <w:rPr>
                <w:sz w:val="20"/>
              </w:rPr>
              <w:t>投标人名称</w:t>
            </w:r>
          </w:p>
        </w:tc>
        <w:tc>
          <w:tcPr>
            <w:tcW w:w="4762" w:type="dxa"/>
          </w:tcPr>
          <w:p>
            <w:pPr>
              <w:pStyle w:val="TableParagraph"/>
              <w:spacing w:before="102"/>
              <w:ind w:left="433"/>
              <w:rPr>
                <w:sz w:val="20"/>
              </w:rPr>
            </w:pPr>
            <w:r>
              <w:rPr>
                <w:sz w:val="20"/>
              </w:rPr>
              <w:t>与营业执照、资质证书一致</w:t>
            </w:r>
          </w:p>
        </w:tc>
      </w:tr>
      <w:tr>
        <w:trPr>
          <w:trHeight w:val="2454" w:hRule="atLeast"/>
        </w:trPr>
        <w:tc>
          <w:tcPr>
            <w:tcW w:w="896" w:type="dxa"/>
            <w:vMerge/>
            <w:tcBorders>
              <w:top w:val="nil"/>
            </w:tcBorders>
          </w:tcPr>
          <w:p>
            <w:pPr>
              <w:rPr>
                <w:sz w:val="2"/>
                <w:szCs w:val="2"/>
              </w:rPr>
            </w:pPr>
          </w:p>
        </w:tc>
        <w:tc>
          <w:tcPr>
            <w:tcW w:w="1154" w:type="dxa"/>
            <w:vMerge/>
            <w:tcBorders>
              <w:top w:val="nil"/>
            </w:tcBorders>
          </w:tcPr>
          <w:p>
            <w:pPr>
              <w:rPr>
                <w:sz w:val="2"/>
                <w:szCs w:val="2"/>
              </w:rPr>
            </w:pPr>
          </w:p>
        </w:tc>
        <w:tc>
          <w:tcPr>
            <w:tcW w:w="2436" w:type="dxa"/>
          </w:tcPr>
          <w:p>
            <w:pPr>
              <w:pStyle w:val="TableParagraph"/>
              <w:rPr>
                <w:b/>
                <w:sz w:val="20"/>
              </w:rPr>
            </w:pPr>
          </w:p>
          <w:p>
            <w:pPr>
              <w:pStyle w:val="TableParagraph"/>
              <w:rPr>
                <w:b/>
                <w:sz w:val="20"/>
              </w:rPr>
            </w:pPr>
          </w:p>
          <w:p>
            <w:pPr>
              <w:pStyle w:val="TableParagraph"/>
              <w:spacing w:before="5"/>
              <w:rPr>
                <w:b/>
                <w:sz w:val="26"/>
              </w:rPr>
            </w:pPr>
          </w:p>
          <w:p>
            <w:pPr>
              <w:pStyle w:val="TableParagraph"/>
              <w:spacing w:line="364" w:lineRule="auto"/>
              <w:ind w:left="850" w:right="239" w:hanging="732"/>
              <w:rPr>
                <w:sz w:val="20"/>
              </w:rPr>
            </w:pPr>
            <w:r>
              <w:rPr>
                <w:sz w:val="20"/>
              </w:rPr>
              <w:t>投标函及投标函附录签字盖章</w:t>
            </w:r>
          </w:p>
        </w:tc>
        <w:tc>
          <w:tcPr>
            <w:tcW w:w="4762" w:type="dxa"/>
          </w:tcPr>
          <w:p>
            <w:pPr>
              <w:pStyle w:val="TableParagraph"/>
              <w:spacing w:before="23"/>
              <w:ind w:left="433"/>
              <w:rPr>
                <w:sz w:val="20"/>
              </w:rPr>
            </w:pPr>
            <w:r>
              <w:rPr>
                <w:sz w:val="20"/>
              </w:rPr>
              <w:t>按投标文件格式要求签字或盖章。</w:t>
            </w:r>
          </w:p>
          <w:p>
            <w:pPr>
              <w:pStyle w:val="TableParagraph"/>
              <w:spacing w:line="374" w:lineRule="auto" w:before="161"/>
              <w:ind w:left="1" w:right="208" w:firstLine="436"/>
              <w:rPr>
                <w:sz w:val="20"/>
              </w:rPr>
            </w:pPr>
            <w:r>
              <w:rPr>
                <w:sz w:val="20"/>
              </w:rPr>
              <w:t>有法定代表人或其委托代理人签字或加盖单位章。由法定代表人签字的，应附法定代表人身份证明，由代理人签字的，应附授权委托书，身份证明或授权委托书应符合第六章“投标文件格式</w:t>
            </w:r>
          </w:p>
          <w:p>
            <w:pPr>
              <w:pStyle w:val="TableParagraph"/>
              <w:spacing w:line="256" w:lineRule="exact"/>
              <w:ind w:left="1"/>
              <w:rPr>
                <w:sz w:val="20"/>
              </w:rPr>
            </w:pPr>
            <w:r>
              <w:rPr>
                <w:sz w:val="20"/>
              </w:rPr>
              <w:t>”的规定</w:t>
            </w:r>
          </w:p>
        </w:tc>
      </w:tr>
      <w:tr>
        <w:trPr>
          <w:trHeight w:val="571" w:hRule="atLeast"/>
        </w:trPr>
        <w:tc>
          <w:tcPr>
            <w:tcW w:w="896" w:type="dxa"/>
            <w:vMerge/>
            <w:tcBorders>
              <w:top w:val="nil"/>
            </w:tcBorders>
          </w:tcPr>
          <w:p>
            <w:pPr>
              <w:rPr>
                <w:sz w:val="2"/>
                <w:szCs w:val="2"/>
              </w:rPr>
            </w:pPr>
          </w:p>
        </w:tc>
        <w:tc>
          <w:tcPr>
            <w:tcW w:w="1154" w:type="dxa"/>
            <w:vMerge/>
            <w:tcBorders>
              <w:top w:val="nil"/>
            </w:tcBorders>
          </w:tcPr>
          <w:p>
            <w:pPr>
              <w:rPr>
                <w:sz w:val="2"/>
                <w:szCs w:val="2"/>
              </w:rPr>
            </w:pPr>
          </w:p>
        </w:tc>
        <w:tc>
          <w:tcPr>
            <w:tcW w:w="2436" w:type="dxa"/>
          </w:tcPr>
          <w:p>
            <w:pPr>
              <w:pStyle w:val="TableParagraph"/>
              <w:spacing w:before="107"/>
              <w:ind w:left="536"/>
              <w:rPr>
                <w:sz w:val="20"/>
              </w:rPr>
            </w:pPr>
            <w:r>
              <w:rPr>
                <w:sz w:val="20"/>
              </w:rPr>
              <w:t>投标文件格式</w:t>
            </w:r>
          </w:p>
        </w:tc>
        <w:tc>
          <w:tcPr>
            <w:tcW w:w="4762" w:type="dxa"/>
          </w:tcPr>
          <w:p>
            <w:pPr>
              <w:pStyle w:val="TableParagraph"/>
              <w:spacing w:before="104"/>
              <w:ind w:left="430"/>
              <w:rPr>
                <w:sz w:val="20"/>
              </w:rPr>
            </w:pPr>
            <w:r>
              <w:rPr>
                <w:sz w:val="20"/>
              </w:rPr>
              <w:t>符合第六章“投标文件格式 ”的规定</w:t>
            </w:r>
          </w:p>
        </w:tc>
      </w:tr>
      <w:tr>
        <w:trPr>
          <w:trHeight w:val="572" w:hRule="atLeast"/>
        </w:trPr>
        <w:tc>
          <w:tcPr>
            <w:tcW w:w="896" w:type="dxa"/>
            <w:vMerge/>
            <w:tcBorders>
              <w:top w:val="nil"/>
            </w:tcBorders>
          </w:tcPr>
          <w:p>
            <w:pPr>
              <w:rPr>
                <w:sz w:val="2"/>
                <w:szCs w:val="2"/>
              </w:rPr>
            </w:pPr>
          </w:p>
        </w:tc>
        <w:tc>
          <w:tcPr>
            <w:tcW w:w="1154" w:type="dxa"/>
            <w:vMerge/>
            <w:tcBorders>
              <w:top w:val="nil"/>
            </w:tcBorders>
          </w:tcPr>
          <w:p>
            <w:pPr>
              <w:rPr>
                <w:sz w:val="2"/>
                <w:szCs w:val="2"/>
              </w:rPr>
            </w:pPr>
          </w:p>
        </w:tc>
        <w:tc>
          <w:tcPr>
            <w:tcW w:w="2436" w:type="dxa"/>
          </w:tcPr>
          <w:p>
            <w:pPr>
              <w:pStyle w:val="TableParagraph"/>
              <w:spacing w:before="104"/>
              <w:ind w:left="536"/>
              <w:rPr>
                <w:sz w:val="20"/>
              </w:rPr>
            </w:pPr>
            <w:r>
              <w:rPr>
                <w:sz w:val="20"/>
              </w:rPr>
              <w:t>投标报价</w:t>
            </w:r>
          </w:p>
        </w:tc>
        <w:tc>
          <w:tcPr>
            <w:tcW w:w="4762" w:type="dxa"/>
          </w:tcPr>
          <w:p>
            <w:pPr>
              <w:pStyle w:val="TableParagraph"/>
              <w:spacing w:before="104"/>
              <w:ind w:left="433"/>
              <w:rPr>
                <w:sz w:val="20"/>
              </w:rPr>
            </w:pPr>
            <w:r>
              <w:rPr>
                <w:sz w:val="20"/>
              </w:rPr>
              <w:t>只能有一个，且为有效报价</w:t>
            </w:r>
          </w:p>
        </w:tc>
      </w:tr>
      <w:tr>
        <w:trPr>
          <w:trHeight w:val="561" w:hRule="atLeast"/>
        </w:trPr>
        <w:tc>
          <w:tcPr>
            <w:tcW w:w="896"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2"/>
              <w:rPr>
                <w:b/>
                <w:sz w:val="14"/>
              </w:rPr>
            </w:pPr>
          </w:p>
          <w:p>
            <w:pPr>
              <w:pStyle w:val="TableParagraph"/>
              <w:ind w:left="119"/>
              <w:rPr>
                <w:sz w:val="20"/>
              </w:rPr>
            </w:pPr>
            <w:r>
              <w:rPr>
                <w:sz w:val="20"/>
              </w:rPr>
              <w:t>2.1.2</w:t>
            </w:r>
          </w:p>
        </w:tc>
        <w:tc>
          <w:tcPr>
            <w:tcW w:w="1154"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367" w:lineRule="auto"/>
              <w:ind w:left="113" w:right="212" w:firstLine="7"/>
              <w:rPr>
                <w:sz w:val="20"/>
              </w:rPr>
            </w:pPr>
            <w:r>
              <w:rPr>
                <w:w w:val="95"/>
                <w:sz w:val="20"/>
              </w:rPr>
              <w:t>资格评审</w:t>
            </w:r>
            <w:r>
              <w:rPr>
                <w:sz w:val="20"/>
              </w:rPr>
              <w:t>标准</w:t>
            </w:r>
          </w:p>
        </w:tc>
        <w:tc>
          <w:tcPr>
            <w:tcW w:w="2436" w:type="dxa"/>
          </w:tcPr>
          <w:p>
            <w:pPr>
              <w:pStyle w:val="TableParagraph"/>
              <w:spacing w:before="101"/>
              <w:ind w:left="538"/>
              <w:rPr>
                <w:sz w:val="20"/>
              </w:rPr>
            </w:pPr>
            <w:r>
              <w:rPr>
                <w:sz w:val="20"/>
              </w:rPr>
              <w:t>营业执照</w:t>
            </w:r>
          </w:p>
        </w:tc>
        <w:tc>
          <w:tcPr>
            <w:tcW w:w="4762" w:type="dxa"/>
          </w:tcPr>
          <w:p>
            <w:pPr>
              <w:pStyle w:val="TableParagraph"/>
              <w:spacing w:before="101"/>
              <w:ind w:left="430"/>
              <w:rPr>
                <w:sz w:val="20"/>
              </w:rPr>
            </w:pPr>
            <w:r>
              <w:rPr>
                <w:sz w:val="20"/>
              </w:rPr>
              <w:t>具备有效的营业执照。</w:t>
            </w:r>
          </w:p>
        </w:tc>
      </w:tr>
      <w:tr>
        <w:trPr>
          <w:trHeight w:val="561" w:hRule="atLeast"/>
        </w:trPr>
        <w:tc>
          <w:tcPr>
            <w:tcW w:w="896" w:type="dxa"/>
            <w:vMerge/>
            <w:tcBorders>
              <w:top w:val="nil"/>
            </w:tcBorders>
          </w:tcPr>
          <w:p>
            <w:pPr>
              <w:rPr>
                <w:sz w:val="2"/>
                <w:szCs w:val="2"/>
              </w:rPr>
            </w:pPr>
          </w:p>
        </w:tc>
        <w:tc>
          <w:tcPr>
            <w:tcW w:w="1154" w:type="dxa"/>
            <w:vMerge/>
            <w:tcBorders>
              <w:top w:val="nil"/>
            </w:tcBorders>
          </w:tcPr>
          <w:p>
            <w:pPr>
              <w:rPr>
                <w:sz w:val="2"/>
                <w:szCs w:val="2"/>
              </w:rPr>
            </w:pPr>
          </w:p>
        </w:tc>
        <w:tc>
          <w:tcPr>
            <w:tcW w:w="2436" w:type="dxa"/>
          </w:tcPr>
          <w:p>
            <w:pPr>
              <w:pStyle w:val="TableParagraph"/>
              <w:spacing w:before="103"/>
              <w:ind w:left="541"/>
              <w:rPr>
                <w:sz w:val="20"/>
              </w:rPr>
            </w:pPr>
            <w:r>
              <w:rPr>
                <w:sz w:val="20"/>
              </w:rPr>
              <w:t>资质要求</w:t>
            </w:r>
          </w:p>
        </w:tc>
        <w:tc>
          <w:tcPr>
            <w:tcW w:w="4762" w:type="dxa"/>
          </w:tcPr>
          <w:p>
            <w:pPr>
              <w:pStyle w:val="TableParagraph"/>
              <w:spacing w:before="100"/>
              <w:ind w:left="426"/>
              <w:rPr>
                <w:sz w:val="20"/>
              </w:rPr>
            </w:pPr>
            <w:r>
              <w:rPr>
                <w:sz w:val="20"/>
              </w:rPr>
              <w:t>符合第二章“投标人须知 ”第 1.4.1 项规定</w:t>
            </w:r>
          </w:p>
        </w:tc>
      </w:tr>
      <w:tr>
        <w:trPr>
          <w:trHeight w:val="562" w:hRule="atLeast"/>
        </w:trPr>
        <w:tc>
          <w:tcPr>
            <w:tcW w:w="896" w:type="dxa"/>
            <w:vMerge/>
            <w:tcBorders>
              <w:top w:val="nil"/>
            </w:tcBorders>
          </w:tcPr>
          <w:p>
            <w:pPr>
              <w:rPr>
                <w:sz w:val="2"/>
                <w:szCs w:val="2"/>
              </w:rPr>
            </w:pPr>
          </w:p>
        </w:tc>
        <w:tc>
          <w:tcPr>
            <w:tcW w:w="1154" w:type="dxa"/>
            <w:vMerge/>
            <w:tcBorders>
              <w:top w:val="nil"/>
            </w:tcBorders>
          </w:tcPr>
          <w:p>
            <w:pPr>
              <w:rPr>
                <w:sz w:val="2"/>
                <w:szCs w:val="2"/>
              </w:rPr>
            </w:pPr>
          </w:p>
        </w:tc>
        <w:tc>
          <w:tcPr>
            <w:tcW w:w="2436" w:type="dxa"/>
          </w:tcPr>
          <w:p>
            <w:pPr>
              <w:pStyle w:val="TableParagraph"/>
              <w:spacing w:before="100"/>
              <w:ind w:left="534"/>
              <w:rPr>
                <w:sz w:val="20"/>
              </w:rPr>
            </w:pPr>
            <w:r>
              <w:rPr>
                <w:sz w:val="20"/>
              </w:rPr>
              <w:t>财务要求</w:t>
            </w:r>
          </w:p>
        </w:tc>
        <w:tc>
          <w:tcPr>
            <w:tcW w:w="4762" w:type="dxa"/>
          </w:tcPr>
          <w:p>
            <w:pPr>
              <w:pStyle w:val="TableParagraph"/>
              <w:spacing w:before="100"/>
              <w:ind w:left="426"/>
              <w:rPr>
                <w:sz w:val="20"/>
              </w:rPr>
            </w:pPr>
            <w:r>
              <w:rPr>
                <w:sz w:val="20"/>
              </w:rPr>
              <w:t>符合第二章“投标人须知 ”第 1.4.1 项规定</w:t>
            </w:r>
          </w:p>
        </w:tc>
      </w:tr>
      <w:tr>
        <w:trPr>
          <w:trHeight w:val="562" w:hRule="atLeast"/>
        </w:trPr>
        <w:tc>
          <w:tcPr>
            <w:tcW w:w="896" w:type="dxa"/>
            <w:vMerge/>
            <w:tcBorders>
              <w:top w:val="nil"/>
            </w:tcBorders>
          </w:tcPr>
          <w:p>
            <w:pPr>
              <w:rPr>
                <w:sz w:val="2"/>
                <w:szCs w:val="2"/>
              </w:rPr>
            </w:pPr>
          </w:p>
        </w:tc>
        <w:tc>
          <w:tcPr>
            <w:tcW w:w="1154" w:type="dxa"/>
            <w:vMerge/>
            <w:tcBorders>
              <w:top w:val="nil"/>
            </w:tcBorders>
          </w:tcPr>
          <w:p>
            <w:pPr>
              <w:rPr>
                <w:sz w:val="2"/>
                <w:szCs w:val="2"/>
              </w:rPr>
            </w:pPr>
          </w:p>
        </w:tc>
        <w:tc>
          <w:tcPr>
            <w:tcW w:w="2436" w:type="dxa"/>
          </w:tcPr>
          <w:p>
            <w:pPr>
              <w:pStyle w:val="TableParagraph"/>
              <w:spacing w:before="102"/>
              <w:ind w:left="531"/>
              <w:rPr>
                <w:sz w:val="20"/>
              </w:rPr>
            </w:pPr>
            <w:r>
              <w:rPr>
                <w:sz w:val="20"/>
              </w:rPr>
              <w:t>信誉要求</w:t>
            </w:r>
          </w:p>
        </w:tc>
        <w:tc>
          <w:tcPr>
            <w:tcW w:w="4762" w:type="dxa"/>
          </w:tcPr>
          <w:p>
            <w:pPr>
              <w:pStyle w:val="TableParagraph"/>
              <w:spacing w:before="102"/>
              <w:ind w:left="426"/>
              <w:rPr>
                <w:sz w:val="20"/>
              </w:rPr>
            </w:pPr>
            <w:r>
              <w:rPr>
                <w:sz w:val="20"/>
              </w:rPr>
              <w:t>符合第二章“投标人须知 ”第 1.4.1 项规定</w:t>
            </w:r>
          </w:p>
        </w:tc>
      </w:tr>
      <w:tr>
        <w:trPr>
          <w:trHeight w:val="562" w:hRule="atLeast"/>
        </w:trPr>
        <w:tc>
          <w:tcPr>
            <w:tcW w:w="896" w:type="dxa"/>
            <w:vMerge/>
            <w:tcBorders>
              <w:top w:val="nil"/>
            </w:tcBorders>
          </w:tcPr>
          <w:p>
            <w:pPr>
              <w:rPr>
                <w:sz w:val="2"/>
                <w:szCs w:val="2"/>
              </w:rPr>
            </w:pPr>
          </w:p>
        </w:tc>
        <w:tc>
          <w:tcPr>
            <w:tcW w:w="1154" w:type="dxa"/>
            <w:vMerge/>
            <w:tcBorders>
              <w:top w:val="nil"/>
            </w:tcBorders>
          </w:tcPr>
          <w:p>
            <w:pPr>
              <w:rPr>
                <w:sz w:val="2"/>
                <w:szCs w:val="2"/>
              </w:rPr>
            </w:pPr>
          </w:p>
        </w:tc>
        <w:tc>
          <w:tcPr>
            <w:tcW w:w="2436" w:type="dxa"/>
          </w:tcPr>
          <w:p>
            <w:pPr>
              <w:pStyle w:val="TableParagraph"/>
              <w:spacing w:before="101"/>
              <w:ind w:left="534"/>
              <w:rPr>
                <w:sz w:val="20"/>
              </w:rPr>
            </w:pPr>
            <w:r>
              <w:rPr>
                <w:sz w:val="20"/>
              </w:rPr>
              <w:t>其他要求</w:t>
            </w:r>
          </w:p>
        </w:tc>
        <w:tc>
          <w:tcPr>
            <w:tcW w:w="4762" w:type="dxa"/>
          </w:tcPr>
          <w:p>
            <w:pPr>
              <w:pStyle w:val="TableParagraph"/>
              <w:spacing w:before="99"/>
              <w:ind w:left="426"/>
              <w:rPr>
                <w:sz w:val="20"/>
              </w:rPr>
            </w:pPr>
            <w:r>
              <w:rPr>
                <w:sz w:val="20"/>
              </w:rPr>
              <w:t>符合第二章“投标人须知 ”第 1.4.1 项规定</w:t>
            </w:r>
          </w:p>
        </w:tc>
      </w:tr>
      <w:tr>
        <w:trPr>
          <w:trHeight w:val="883" w:hRule="atLeast"/>
        </w:trPr>
        <w:tc>
          <w:tcPr>
            <w:tcW w:w="896" w:type="dxa"/>
            <w:vMerge/>
            <w:tcBorders>
              <w:top w:val="nil"/>
            </w:tcBorders>
          </w:tcPr>
          <w:p>
            <w:pPr>
              <w:rPr>
                <w:sz w:val="2"/>
                <w:szCs w:val="2"/>
              </w:rPr>
            </w:pPr>
          </w:p>
        </w:tc>
        <w:tc>
          <w:tcPr>
            <w:tcW w:w="1154" w:type="dxa"/>
            <w:vMerge/>
            <w:tcBorders>
              <w:top w:val="nil"/>
            </w:tcBorders>
          </w:tcPr>
          <w:p>
            <w:pPr>
              <w:rPr>
                <w:sz w:val="2"/>
                <w:szCs w:val="2"/>
              </w:rPr>
            </w:pPr>
          </w:p>
        </w:tc>
        <w:tc>
          <w:tcPr>
            <w:tcW w:w="2436" w:type="dxa"/>
          </w:tcPr>
          <w:p>
            <w:pPr>
              <w:pStyle w:val="TableParagraph"/>
              <w:spacing w:before="5"/>
              <w:rPr>
                <w:b/>
                <w:sz w:val="20"/>
              </w:rPr>
            </w:pPr>
          </w:p>
          <w:p>
            <w:pPr>
              <w:pStyle w:val="TableParagraph"/>
              <w:ind w:right="241"/>
              <w:jc w:val="right"/>
              <w:rPr>
                <w:sz w:val="20"/>
              </w:rPr>
            </w:pPr>
            <w:r>
              <w:rPr>
                <w:w w:val="95"/>
                <w:sz w:val="20"/>
              </w:rPr>
              <w:t>不存在禁止投标的情形</w:t>
            </w:r>
          </w:p>
        </w:tc>
        <w:tc>
          <w:tcPr>
            <w:tcW w:w="4762" w:type="dxa"/>
          </w:tcPr>
          <w:p>
            <w:pPr>
              <w:pStyle w:val="TableParagraph"/>
              <w:spacing w:line="367" w:lineRule="auto" w:before="67"/>
              <w:ind w:left="1" w:right="455" w:firstLine="424"/>
              <w:rPr>
                <w:sz w:val="20"/>
              </w:rPr>
            </w:pPr>
            <w:r>
              <w:rPr>
                <w:sz w:val="20"/>
              </w:rPr>
              <w:t>不存在第二章“投标人须知 ”第 1.4.3 项规定的任何一种情形</w:t>
            </w:r>
          </w:p>
        </w:tc>
      </w:tr>
    </w:tbl>
    <w:p>
      <w:pPr>
        <w:spacing w:after="0" w:line="367" w:lineRule="auto"/>
        <w:rPr>
          <w:sz w:val="20"/>
        </w:rPr>
        <w:sectPr>
          <w:footerReference w:type="default" r:id="rId22"/>
          <w:pgSz w:w="11910" w:h="16840"/>
          <w:pgMar w:footer="686" w:header="0" w:top="1460" w:bottom="880" w:left="1300" w:right="500"/>
          <w:pgNumType w:start="30"/>
        </w:sect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56"/>
        <w:gridCol w:w="994"/>
        <w:gridCol w:w="2436"/>
        <w:gridCol w:w="4779"/>
      </w:tblGrid>
      <w:tr>
        <w:trPr>
          <w:trHeight w:val="447" w:hRule="atLeast"/>
        </w:trPr>
        <w:tc>
          <w:tcPr>
            <w:tcW w:w="1056"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
              <w:rPr>
                <w:b/>
                <w:sz w:val="27"/>
              </w:rPr>
            </w:pPr>
          </w:p>
          <w:p>
            <w:pPr>
              <w:pStyle w:val="TableParagraph"/>
              <w:ind w:left="121"/>
              <w:rPr>
                <w:sz w:val="20"/>
              </w:rPr>
            </w:pPr>
            <w:r>
              <w:rPr>
                <w:sz w:val="20"/>
              </w:rPr>
              <w:t>2.1.3</w:t>
            </w:r>
          </w:p>
        </w:tc>
        <w:tc>
          <w:tcPr>
            <w:tcW w:w="994"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367" w:lineRule="auto" w:before="165"/>
              <w:ind w:left="148" w:right="229" w:firstLine="2"/>
              <w:jc w:val="center"/>
              <w:rPr>
                <w:sz w:val="20"/>
              </w:rPr>
            </w:pPr>
            <w:r>
              <w:rPr>
                <w:w w:val="95"/>
                <w:sz w:val="20"/>
              </w:rPr>
              <w:t>响应性评审标</w:t>
            </w:r>
            <w:r>
              <w:rPr>
                <w:sz w:val="20"/>
              </w:rPr>
              <w:t>准</w:t>
            </w:r>
          </w:p>
        </w:tc>
        <w:tc>
          <w:tcPr>
            <w:tcW w:w="2436" w:type="dxa"/>
          </w:tcPr>
          <w:p>
            <w:pPr>
              <w:pStyle w:val="TableParagraph"/>
              <w:spacing w:before="36"/>
              <w:ind w:left="538"/>
              <w:rPr>
                <w:sz w:val="20"/>
              </w:rPr>
            </w:pPr>
            <w:r>
              <w:rPr>
                <w:sz w:val="20"/>
              </w:rPr>
              <w:t>投标报价</w:t>
            </w:r>
          </w:p>
        </w:tc>
        <w:tc>
          <w:tcPr>
            <w:tcW w:w="4779" w:type="dxa"/>
          </w:tcPr>
          <w:p>
            <w:pPr>
              <w:pStyle w:val="TableParagraph"/>
              <w:spacing w:before="36"/>
              <w:ind w:left="423"/>
              <w:rPr>
                <w:sz w:val="20"/>
              </w:rPr>
            </w:pPr>
            <w:r>
              <w:rPr>
                <w:sz w:val="20"/>
              </w:rPr>
              <w:t>符合第二章“投标人须知 ”第 3.2 款规定</w:t>
            </w:r>
          </w:p>
        </w:tc>
      </w:tr>
      <w:tr>
        <w:trPr>
          <w:trHeight w:val="445" w:hRule="atLeast"/>
        </w:trPr>
        <w:tc>
          <w:tcPr>
            <w:tcW w:w="1056" w:type="dxa"/>
            <w:vMerge/>
            <w:tcBorders>
              <w:top w:val="nil"/>
            </w:tcBorders>
          </w:tcPr>
          <w:p>
            <w:pPr>
              <w:rPr>
                <w:sz w:val="2"/>
                <w:szCs w:val="2"/>
              </w:rPr>
            </w:pPr>
          </w:p>
        </w:tc>
        <w:tc>
          <w:tcPr>
            <w:tcW w:w="994" w:type="dxa"/>
            <w:vMerge/>
            <w:tcBorders>
              <w:top w:val="nil"/>
            </w:tcBorders>
          </w:tcPr>
          <w:p>
            <w:pPr>
              <w:rPr>
                <w:sz w:val="2"/>
                <w:szCs w:val="2"/>
              </w:rPr>
            </w:pPr>
          </w:p>
        </w:tc>
        <w:tc>
          <w:tcPr>
            <w:tcW w:w="2436" w:type="dxa"/>
          </w:tcPr>
          <w:p>
            <w:pPr>
              <w:pStyle w:val="TableParagraph"/>
              <w:spacing w:before="35"/>
              <w:ind w:left="538"/>
              <w:rPr>
                <w:sz w:val="20"/>
              </w:rPr>
            </w:pPr>
            <w:r>
              <w:rPr>
                <w:sz w:val="20"/>
              </w:rPr>
              <w:t>投标内容</w:t>
            </w:r>
          </w:p>
        </w:tc>
        <w:tc>
          <w:tcPr>
            <w:tcW w:w="4779" w:type="dxa"/>
          </w:tcPr>
          <w:p>
            <w:pPr>
              <w:pStyle w:val="TableParagraph"/>
              <w:spacing w:before="35"/>
              <w:ind w:left="433"/>
              <w:rPr>
                <w:sz w:val="20"/>
              </w:rPr>
            </w:pPr>
            <w:r>
              <w:rPr>
                <w:sz w:val="20"/>
              </w:rPr>
              <w:t>符合第六章“投标文件格式 ”规定</w:t>
            </w:r>
          </w:p>
        </w:tc>
      </w:tr>
      <w:tr>
        <w:trPr>
          <w:trHeight w:val="443" w:hRule="atLeast"/>
        </w:trPr>
        <w:tc>
          <w:tcPr>
            <w:tcW w:w="1056" w:type="dxa"/>
            <w:vMerge/>
            <w:tcBorders>
              <w:top w:val="nil"/>
            </w:tcBorders>
          </w:tcPr>
          <w:p>
            <w:pPr>
              <w:rPr>
                <w:sz w:val="2"/>
                <w:szCs w:val="2"/>
              </w:rPr>
            </w:pPr>
          </w:p>
        </w:tc>
        <w:tc>
          <w:tcPr>
            <w:tcW w:w="994" w:type="dxa"/>
            <w:vMerge/>
            <w:tcBorders>
              <w:top w:val="nil"/>
            </w:tcBorders>
          </w:tcPr>
          <w:p>
            <w:pPr>
              <w:rPr>
                <w:sz w:val="2"/>
                <w:szCs w:val="2"/>
              </w:rPr>
            </w:pPr>
          </w:p>
        </w:tc>
        <w:tc>
          <w:tcPr>
            <w:tcW w:w="2436" w:type="dxa"/>
          </w:tcPr>
          <w:p>
            <w:pPr>
              <w:pStyle w:val="TableParagraph"/>
              <w:spacing w:before="33"/>
              <w:ind w:left="534"/>
              <w:rPr>
                <w:sz w:val="20"/>
              </w:rPr>
            </w:pPr>
            <w:r>
              <w:rPr>
                <w:sz w:val="20"/>
              </w:rPr>
              <w:t>服务期限</w:t>
            </w:r>
          </w:p>
        </w:tc>
        <w:tc>
          <w:tcPr>
            <w:tcW w:w="4779" w:type="dxa"/>
          </w:tcPr>
          <w:p>
            <w:pPr>
              <w:pStyle w:val="TableParagraph"/>
              <w:spacing w:before="33"/>
              <w:ind w:right="268"/>
              <w:jc w:val="right"/>
              <w:rPr>
                <w:sz w:val="20"/>
              </w:rPr>
            </w:pPr>
            <w:r>
              <w:rPr>
                <w:sz w:val="20"/>
              </w:rPr>
              <w:t>符合第二章“投标人须知 ”第 1.3.2 项规定</w:t>
            </w:r>
          </w:p>
        </w:tc>
      </w:tr>
      <w:tr>
        <w:trPr>
          <w:trHeight w:val="445" w:hRule="atLeast"/>
        </w:trPr>
        <w:tc>
          <w:tcPr>
            <w:tcW w:w="1056" w:type="dxa"/>
            <w:vMerge/>
            <w:tcBorders>
              <w:top w:val="nil"/>
            </w:tcBorders>
          </w:tcPr>
          <w:p>
            <w:pPr>
              <w:rPr>
                <w:sz w:val="2"/>
                <w:szCs w:val="2"/>
              </w:rPr>
            </w:pPr>
          </w:p>
        </w:tc>
        <w:tc>
          <w:tcPr>
            <w:tcW w:w="994" w:type="dxa"/>
            <w:vMerge/>
            <w:tcBorders>
              <w:top w:val="nil"/>
            </w:tcBorders>
          </w:tcPr>
          <w:p>
            <w:pPr>
              <w:rPr>
                <w:sz w:val="2"/>
                <w:szCs w:val="2"/>
              </w:rPr>
            </w:pPr>
          </w:p>
        </w:tc>
        <w:tc>
          <w:tcPr>
            <w:tcW w:w="2436" w:type="dxa"/>
          </w:tcPr>
          <w:p>
            <w:pPr>
              <w:pStyle w:val="TableParagraph"/>
              <w:spacing w:before="36"/>
              <w:ind w:left="536"/>
              <w:rPr>
                <w:sz w:val="20"/>
              </w:rPr>
            </w:pPr>
            <w:r>
              <w:rPr>
                <w:sz w:val="20"/>
              </w:rPr>
              <w:t>质量标准</w:t>
            </w:r>
          </w:p>
        </w:tc>
        <w:tc>
          <w:tcPr>
            <w:tcW w:w="4779" w:type="dxa"/>
          </w:tcPr>
          <w:p>
            <w:pPr>
              <w:pStyle w:val="TableParagraph"/>
              <w:spacing w:before="34"/>
              <w:ind w:right="268"/>
              <w:jc w:val="right"/>
              <w:rPr>
                <w:sz w:val="20"/>
              </w:rPr>
            </w:pPr>
            <w:r>
              <w:rPr>
                <w:sz w:val="20"/>
              </w:rPr>
              <w:t>符合第二章“投标人须知 ”第 1.3.3 项规定</w:t>
            </w:r>
          </w:p>
        </w:tc>
      </w:tr>
      <w:tr>
        <w:trPr>
          <w:trHeight w:val="442" w:hRule="atLeast"/>
        </w:trPr>
        <w:tc>
          <w:tcPr>
            <w:tcW w:w="1056" w:type="dxa"/>
            <w:vMerge/>
            <w:tcBorders>
              <w:top w:val="nil"/>
            </w:tcBorders>
          </w:tcPr>
          <w:p>
            <w:pPr>
              <w:rPr>
                <w:sz w:val="2"/>
                <w:szCs w:val="2"/>
              </w:rPr>
            </w:pPr>
          </w:p>
        </w:tc>
        <w:tc>
          <w:tcPr>
            <w:tcW w:w="994" w:type="dxa"/>
            <w:vMerge/>
            <w:tcBorders>
              <w:top w:val="nil"/>
            </w:tcBorders>
          </w:tcPr>
          <w:p>
            <w:pPr>
              <w:rPr>
                <w:sz w:val="2"/>
                <w:szCs w:val="2"/>
              </w:rPr>
            </w:pPr>
          </w:p>
        </w:tc>
        <w:tc>
          <w:tcPr>
            <w:tcW w:w="2436" w:type="dxa"/>
          </w:tcPr>
          <w:p>
            <w:pPr>
              <w:pStyle w:val="TableParagraph"/>
              <w:spacing w:before="34"/>
              <w:ind w:left="538"/>
              <w:rPr>
                <w:sz w:val="20"/>
              </w:rPr>
            </w:pPr>
            <w:r>
              <w:rPr>
                <w:sz w:val="20"/>
              </w:rPr>
              <w:t>投标有效期</w:t>
            </w:r>
          </w:p>
        </w:tc>
        <w:tc>
          <w:tcPr>
            <w:tcW w:w="4779" w:type="dxa"/>
          </w:tcPr>
          <w:p>
            <w:pPr>
              <w:pStyle w:val="TableParagraph"/>
              <w:spacing w:before="32"/>
              <w:ind w:right="268"/>
              <w:jc w:val="right"/>
              <w:rPr>
                <w:sz w:val="20"/>
              </w:rPr>
            </w:pPr>
            <w:r>
              <w:rPr>
                <w:sz w:val="20"/>
              </w:rPr>
              <w:t>符合第二章“投标人须知 ”第 3.3.1 项规定</w:t>
            </w:r>
          </w:p>
        </w:tc>
      </w:tr>
      <w:tr>
        <w:trPr>
          <w:trHeight w:val="447" w:hRule="atLeast"/>
        </w:trPr>
        <w:tc>
          <w:tcPr>
            <w:tcW w:w="1056" w:type="dxa"/>
            <w:vMerge/>
            <w:tcBorders>
              <w:top w:val="nil"/>
            </w:tcBorders>
          </w:tcPr>
          <w:p>
            <w:pPr>
              <w:rPr>
                <w:sz w:val="2"/>
                <w:szCs w:val="2"/>
              </w:rPr>
            </w:pPr>
          </w:p>
        </w:tc>
        <w:tc>
          <w:tcPr>
            <w:tcW w:w="994" w:type="dxa"/>
            <w:vMerge/>
            <w:tcBorders>
              <w:top w:val="nil"/>
            </w:tcBorders>
          </w:tcPr>
          <w:p>
            <w:pPr>
              <w:rPr>
                <w:sz w:val="2"/>
                <w:szCs w:val="2"/>
              </w:rPr>
            </w:pPr>
          </w:p>
        </w:tc>
        <w:tc>
          <w:tcPr>
            <w:tcW w:w="2436" w:type="dxa"/>
          </w:tcPr>
          <w:p>
            <w:pPr>
              <w:pStyle w:val="TableParagraph"/>
              <w:spacing w:before="37"/>
              <w:ind w:left="538"/>
              <w:rPr>
                <w:sz w:val="20"/>
              </w:rPr>
            </w:pPr>
            <w:r>
              <w:rPr>
                <w:sz w:val="20"/>
              </w:rPr>
              <w:t>投标保证金</w:t>
            </w:r>
          </w:p>
        </w:tc>
        <w:tc>
          <w:tcPr>
            <w:tcW w:w="4779" w:type="dxa"/>
          </w:tcPr>
          <w:p>
            <w:pPr>
              <w:pStyle w:val="TableParagraph"/>
              <w:spacing w:before="35"/>
              <w:ind w:left="3"/>
              <w:rPr>
                <w:sz w:val="20"/>
              </w:rPr>
            </w:pPr>
            <w:r>
              <w:rPr>
                <w:sz w:val="20"/>
              </w:rPr>
              <w:t>符合第二章“投标人须知 ”第 3.4.1 项规定</w:t>
            </w:r>
          </w:p>
        </w:tc>
      </w:tr>
      <w:tr>
        <w:trPr>
          <w:trHeight w:val="1230" w:hRule="atLeast"/>
        </w:trPr>
        <w:tc>
          <w:tcPr>
            <w:tcW w:w="1056" w:type="dxa"/>
            <w:vMerge/>
            <w:tcBorders>
              <w:top w:val="nil"/>
            </w:tcBorders>
          </w:tcPr>
          <w:p>
            <w:pPr>
              <w:rPr>
                <w:sz w:val="2"/>
                <w:szCs w:val="2"/>
              </w:rPr>
            </w:pPr>
          </w:p>
        </w:tc>
        <w:tc>
          <w:tcPr>
            <w:tcW w:w="994" w:type="dxa"/>
            <w:vMerge/>
            <w:tcBorders>
              <w:top w:val="nil"/>
            </w:tcBorders>
          </w:tcPr>
          <w:p>
            <w:pPr>
              <w:rPr>
                <w:sz w:val="2"/>
                <w:szCs w:val="2"/>
              </w:rPr>
            </w:pPr>
          </w:p>
        </w:tc>
        <w:tc>
          <w:tcPr>
            <w:tcW w:w="2436" w:type="dxa"/>
          </w:tcPr>
          <w:p>
            <w:pPr>
              <w:pStyle w:val="TableParagraph"/>
              <w:rPr>
                <w:b/>
                <w:sz w:val="20"/>
              </w:rPr>
            </w:pPr>
          </w:p>
          <w:p>
            <w:pPr>
              <w:pStyle w:val="TableParagraph"/>
              <w:spacing w:before="169"/>
              <w:ind w:left="534"/>
              <w:rPr>
                <w:sz w:val="20"/>
              </w:rPr>
            </w:pPr>
            <w:r>
              <w:rPr>
                <w:sz w:val="20"/>
              </w:rPr>
              <w:t>权利义务</w:t>
            </w:r>
          </w:p>
        </w:tc>
        <w:tc>
          <w:tcPr>
            <w:tcW w:w="4779" w:type="dxa"/>
          </w:tcPr>
          <w:p>
            <w:pPr>
              <w:pStyle w:val="TableParagraph"/>
              <w:spacing w:line="369" w:lineRule="auto" w:before="27"/>
              <w:ind w:left="3" w:right="256" w:firstLine="420"/>
              <w:jc w:val="both"/>
              <w:rPr>
                <w:sz w:val="20"/>
              </w:rPr>
            </w:pPr>
            <w:r>
              <w:rPr>
                <w:sz w:val="20"/>
              </w:rPr>
              <w:t>符合第二章“投标人须知 ”第 1.12.1 项规定和第四章“合同条款及格式 ”中的实质性要求和条件</w:t>
            </w:r>
          </w:p>
        </w:tc>
      </w:tr>
      <w:tr>
        <w:trPr>
          <w:trHeight w:val="744" w:hRule="atLeast"/>
        </w:trPr>
        <w:tc>
          <w:tcPr>
            <w:tcW w:w="1056" w:type="dxa"/>
            <w:vMerge/>
            <w:tcBorders>
              <w:top w:val="nil"/>
            </w:tcBorders>
          </w:tcPr>
          <w:p>
            <w:pPr>
              <w:rPr>
                <w:sz w:val="2"/>
                <w:szCs w:val="2"/>
              </w:rPr>
            </w:pPr>
          </w:p>
        </w:tc>
        <w:tc>
          <w:tcPr>
            <w:tcW w:w="994" w:type="dxa"/>
            <w:vMerge/>
            <w:tcBorders>
              <w:top w:val="nil"/>
            </w:tcBorders>
          </w:tcPr>
          <w:p>
            <w:pPr>
              <w:rPr>
                <w:sz w:val="2"/>
                <w:szCs w:val="2"/>
              </w:rPr>
            </w:pPr>
          </w:p>
        </w:tc>
        <w:tc>
          <w:tcPr>
            <w:tcW w:w="2436" w:type="dxa"/>
          </w:tcPr>
          <w:p>
            <w:pPr>
              <w:pStyle w:val="TableParagraph"/>
              <w:spacing w:before="7"/>
              <w:rPr>
                <w:b/>
                <w:sz w:val="14"/>
              </w:rPr>
            </w:pPr>
          </w:p>
          <w:p>
            <w:pPr>
              <w:pStyle w:val="TableParagraph"/>
              <w:ind w:left="606"/>
              <w:rPr>
                <w:sz w:val="20"/>
              </w:rPr>
            </w:pPr>
            <w:r>
              <w:rPr>
                <w:sz w:val="20"/>
              </w:rPr>
              <w:t>实质性要求</w:t>
            </w:r>
          </w:p>
        </w:tc>
        <w:tc>
          <w:tcPr>
            <w:tcW w:w="4779" w:type="dxa"/>
          </w:tcPr>
          <w:p>
            <w:pPr>
              <w:pStyle w:val="TableParagraph"/>
              <w:spacing w:before="4"/>
              <w:rPr>
                <w:b/>
                <w:sz w:val="14"/>
              </w:rPr>
            </w:pPr>
          </w:p>
          <w:p>
            <w:pPr>
              <w:pStyle w:val="TableParagraph"/>
              <w:spacing w:before="1"/>
              <w:ind w:left="440"/>
              <w:rPr>
                <w:sz w:val="20"/>
              </w:rPr>
            </w:pPr>
            <w:r>
              <w:rPr>
                <w:sz w:val="20"/>
              </w:rPr>
              <w:t>符合招标文件要求的其他实质性要求和条件</w:t>
            </w:r>
          </w:p>
        </w:tc>
      </w:tr>
      <w:tr>
        <w:trPr>
          <w:trHeight w:val="442" w:hRule="atLeast"/>
        </w:trPr>
        <w:tc>
          <w:tcPr>
            <w:tcW w:w="2050" w:type="dxa"/>
            <w:gridSpan w:val="2"/>
          </w:tcPr>
          <w:p>
            <w:pPr>
              <w:pStyle w:val="TableParagraph"/>
              <w:spacing w:before="33"/>
              <w:ind w:left="930"/>
              <w:rPr>
                <w:sz w:val="20"/>
              </w:rPr>
            </w:pPr>
            <w:r>
              <w:rPr>
                <w:sz w:val="20"/>
              </w:rPr>
              <w:t>条款号</w:t>
            </w:r>
          </w:p>
        </w:tc>
        <w:tc>
          <w:tcPr>
            <w:tcW w:w="2436" w:type="dxa"/>
          </w:tcPr>
          <w:p>
            <w:pPr>
              <w:pStyle w:val="TableParagraph"/>
              <w:spacing w:before="33"/>
              <w:ind w:left="1016"/>
              <w:rPr>
                <w:sz w:val="20"/>
              </w:rPr>
            </w:pPr>
            <w:r>
              <w:rPr>
                <w:sz w:val="20"/>
              </w:rPr>
              <w:t>条款内容</w:t>
            </w:r>
          </w:p>
        </w:tc>
        <w:tc>
          <w:tcPr>
            <w:tcW w:w="4779" w:type="dxa"/>
          </w:tcPr>
          <w:p>
            <w:pPr>
              <w:pStyle w:val="TableParagraph"/>
              <w:spacing w:before="33"/>
              <w:ind w:left="2175" w:right="1758"/>
              <w:jc w:val="center"/>
              <w:rPr>
                <w:sz w:val="20"/>
              </w:rPr>
            </w:pPr>
            <w:r>
              <w:rPr>
                <w:sz w:val="20"/>
              </w:rPr>
              <w:t>编列内容</w:t>
            </w:r>
          </w:p>
        </w:tc>
      </w:tr>
      <w:tr>
        <w:trPr>
          <w:trHeight w:val="1451" w:hRule="atLeast"/>
        </w:trPr>
        <w:tc>
          <w:tcPr>
            <w:tcW w:w="1056" w:type="dxa"/>
          </w:tcPr>
          <w:p>
            <w:pPr>
              <w:pStyle w:val="TableParagraph"/>
              <w:rPr>
                <w:b/>
                <w:sz w:val="20"/>
              </w:rPr>
            </w:pPr>
          </w:p>
          <w:p>
            <w:pPr>
              <w:pStyle w:val="TableParagraph"/>
              <w:spacing w:before="12"/>
              <w:rPr>
                <w:b/>
                <w:sz w:val="21"/>
              </w:rPr>
            </w:pPr>
          </w:p>
          <w:p>
            <w:pPr>
              <w:pStyle w:val="TableParagraph"/>
              <w:ind w:left="198"/>
              <w:rPr>
                <w:sz w:val="20"/>
              </w:rPr>
            </w:pPr>
            <w:r>
              <w:rPr>
                <w:sz w:val="20"/>
              </w:rPr>
              <w:t>2.2.1</w:t>
            </w:r>
          </w:p>
        </w:tc>
        <w:tc>
          <w:tcPr>
            <w:tcW w:w="3430" w:type="dxa"/>
            <w:gridSpan w:val="2"/>
          </w:tcPr>
          <w:p>
            <w:pPr>
              <w:pStyle w:val="TableParagraph"/>
              <w:rPr>
                <w:b/>
                <w:sz w:val="26"/>
              </w:rPr>
            </w:pPr>
          </w:p>
          <w:p>
            <w:pPr>
              <w:pStyle w:val="TableParagraph"/>
              <w:ind w:left="1307" w:right="726"/>
              <w:jc w:val="center"/>
              <w:rPr>
                <w:sz w:val="20"/>
              </w:rPr>
            </w:pPr>
            <w:r>
              <w:rPr>
                <w:sz w:val="20"/>
              </w:rPr>
              <w:t>分值构成</w:t>
            </w:r>
          </w:p>
          <w:p>
            <w:pPr>
              <w:pStyle w:val="TableParagraph"/>
              <w:spacing w:before="152"/>
              <w:ind w:left="1359" w:right="726"/>
              <w:jc w:val="center"/>
              <w:rPr>
                <w:sz w:val="20"/>
              </w:rPr>
            </w:pPr>
            <w:r>
              <w:rPr>
                <w:sz w:val="20"/>
              </w:rPr>
              <w:t>(总分 100 分)</w:t>
            </w:r>
          </w:p>
        </w:tc>
        <w:tc>
          <w:tcPr>
            <w:tcW w:w="4779" w:type="dxa"/>
          </w:tcPr>
          <w:p>
            <w:pPr>
              <w:pStyle w:val="TableParagraph"/>
              <w:spacing w:before="2"/>
              <w:rPr>
                <w:b/>
                <w:sz w:val="21"/>
              </w:rPr>
            </w:pPr>
          </w:p>
          <w:p>
            <w:pPr>
              <w:pStyle w:val="TableParagraph"/>
              <w:ind w:left="3"/>
              <w:rPr>
                <w:sz w:val="20"/>
              </w:rPr>
            </w:pPr>
            <w:r>
              <w:rPr>
                <w:sz w:val="20"/>
              </w:rPr>
              <w:t>投标报价：30分</w:t>
            </w:r>
          </w:p>
          <w:p>
            <w:pPr>
              <w:pStyle w:val="TableParagraph"/>
              <w:spacing w:line="390" w:lineRule="atLeast"/>
              <w:ind w:left="3" w:right="2906"/>
              <w:rPr>
                <w:sz w:val="20"/>
              </w:rPr>
            </w:pPr>
            <w:r>
              <w:rPr>
                <w:sz w:val="20"/>
              </w:rPr>
              <w:t>技术方案部分：60分其他评分因素：10分</w:t>
            </w:r>
          </w:p>
        </w:tc>
      </w:tr>
      <w:tr>
        <w:trPr>
          <w:trHeight w:val="1638" w:hRule="atLeast"/>
        </w:trPr>
        <w:tc>
          <w:tcPr>
            <w:tcW w:w="1056" w:type="dxa"/>
          </w:tcPr>
          <w:p>
            <w:pPr>
              <w:pStyle w:val="TableParagraph"/>
              <w:rPr>
                <w:b/>
                <w:sz w:val="20"/>
              </w:rPr>
            </w:pPr>
          </w:p>
          <w:p>
            <w:pPr>
              <w:pStyle w:val="TableParagraph"/>
              <w:rPr>
                <w:b/>
                <w:sz w:val="29"/>
              </w:rPr>
            </w:pPr>
          </w:p>
          <w:p>
            <w:pPr>
              <w:pStyle w:val="TableParagraph"/>
              <w:spacing w:before="1"/>
              <w:ind w:left="198"/>
              <w:rPr>
                <w:sz w:val="20"/>
              </w:rPr>
            </w:pPr>
            <w:r>
              <w:rPr>
                <w:sz w:val="20"/>
              </w:rPr>
              <w:t>2.2.2</w:t>
            </w:r>
          </w:p>
        </w:tc>
        <w:tc>
          <w:tcPr>
            <w:tcW w:w="3430" w:type="dxa"/>
            <w:gridSpan w:val="2"/>
          </w:tcPr>
          <w:p>
            <w:pPr>
              <w:pStyle w:val="TableParagraph"/>
              <w:rPr>
                <w:b/>
                <w:sz w:val="20"/>
              </w:rPr>
            </w:pPr>
          </w:p>
          <w:p>
            <w:pPr>
              <w:pStyle w:val="TableParagraph"/>
              <w:spacing w:before="3"/>
              <w:rPr>
                <w:b/>
                <w:sz w:val="29"/>
              </w:rPr>
            </w:pPr>
          </w:p>
          <w:p>
            <w:pPr>
              <w:pStyle w:val="TableParagraph"/>
              <w:ind w:left="1067"/>
              <w:rPr>
                <w:sz w:val="20"/>
              </w:rPr>
            </w:pPr>
            <w:r>
              <w:rPr>
                <w:sz w:val="20"/>
              </w:rPr>
              <w:t>评标基准价计算方法</w:t>
            </w:r>
          </w:p>
        </w:tc>
        <w:tc>
          <w:tcPr>
            <w:tcW w:w="4779" w:type="dxa"/>
          </w:tcPr>
          <w:p>
            <w:pPr>
              <w:pStyle w:val="TableParagraph"/>
              <w:spacing w:before="31"/>
              <w:ind w:left="495"/>
              <w:rPr>
                <w:sz w:val="20"/>
              </w:rPr>
            </w:pPr>
            <w:r>
              <w:rPr>
                <w:sz w:val="20"/>
              </w:rPr>
              <w:t>评标基准价=所有有效投标报价的算术平均值</w:t>
            </w:r>
          </w:p>
          <w:p>
            <w:pPr>
              <w:pStyle w:val="TableParagraph"/>
              <w:spacing w:line="372" w:lineRule="auto" w:before="140"/>
              <w:ind w:left="87" w:right="95"/>
              <w:jc w:val="both"/>
              <w:rPr>
                <w:sz w:val="20"/>
              </w:rPr>
            </w:pPr>
            <w:r>
              <w:rPr>
                <w:sz w:val="20"/>
              </w:rPr>
              <w:t>（投标报价的有效性：以招标人的项目预算为最高限价，不高于最高限价且通过初步审查的投标单位的投标报价为有效报价）</w:t>
            </w:r>
          </w:p>
        </w:tc>
      </w:tr>
      <w:tr>
        <w:trPr>
          <w:trHeight w:val="882" w:hRule="atLeast"/>
        </w:trPr>
        <w:tc>
          <w:tcPr>
            <w:tcW w:w="1056" w:type="dxa"/>
            <w:tcBorders>
              <w:bottom w:val="single" w:sz="4" w:space="0" w:color="000000"/>
            </w:tcBorders>
          </w:tcPr>
          <w:p>
            <w:pPr>
              <w:pStyle w:val="TableParagraph"/>
              <w:spacing w:before="9"/>
              <w:rPr>
                <w:b/>
                <w:sz w:val="19"/>
              </w:rPr>
            </w:pPr>
          </w:p>
          <w:p>
            <w:pPr>
              <w:pStyle w:val="TableParagraph"/>
              <w:ind w:left="198"/>
              <w:rPr>
                <w:sz w:val="20"/>
              </w:rPr>
            </w:pPr>
            <w:r>
              <w:rPr>
                <w:sz w:val="20"/>
              </w:rPr>
              <w:t>2.2.3</w:t>
            </w:r>
          </w:p>
        </w:tc>
        <w:tc>
          <w:tcPr>
            <w:tcW w:w="3430" w:type="dxa"/>
            <w:gridSpan w:val="2"/>
            <w:tcBorders>
              <w:bottom w:val="single" w:sz="4" w:space="0" w:color="000000"/>
            </w:tcBorders>
          </w:tcPr>
          <w:p>
            <w:pPr>
              <w:pStyle w:val="TableParagraph"/>
              <w:spacing w:before="11"/>
              <w:rPr>
                <w:b/>
                <w:sz w:val="19"/>
              </w:rPr>
            </w:pPr>
          </w:p>
          <w:p>
            <w:pPr>
              <w:pStyle w:val="TableParagraph"/>
              <w:spacing w:before="1"/>
              <w:ind w:left="755"/>
              <w:rPr>
                <w:sz w:val="20"/>
              </w:rPr>
            </w:pPr>
            <w:r>
              <w:rPr>
                <w:sz w:val="20"/>
              </w:rPr>
              <w:t>投标报价的偏差率计算公式</w:t>
            </w:r>
          </w:p>
        </w:tc>
        <w:tc>
          <w:tcPr>
            <w:tcW w:w="4779" w:type="dxa"/>
          </w:tcPr>
          <w:p>
            <w:pPr>
              <w:pStyle w:val="TableParagraph"/>
              <w:spacing w:before="61"/>
              <w:ind w:left="493"/>
              <w:rPr>
                <w:sz w:val="20"/>
              </w:rPr>
            </w:pPr>
            <w:r>
              <w:rPr>
                <w:sz w:val="20"/>
              </w:rPr>
              <w:t>【（投标报价―评标基准价）/评标基准价】</w:t>
            </w:r>
          </w:p>
          <w:p>
            <w:pPr>
              <w:pStyle w:val="TableParagraph"/>
              <w:spacing w:before="147"/>
              <w:ind w:left="106"/>
              <w:rPr>
                <w:sz w:val="20"/>
              </w:rPr>
            </w:pPr>
            <w:r>
              <w:rPr>
                <w:sz w:val="20"/>
              </w:rPr>
              <w:t>×</w:t>
            </w:r>
            <w:r>
              <w:rPr>
                <w:spacing w:val="-82"/>
                <w:sz w:val="20"/>
              </w:rPr>
              <w:t> </w:t>
            </w:r>
            <w:r>
              <w:rPr>
                <w:spacing w:val="-4"/>
                <w:sz w:val="20"/>
              </w:rPr>
              <w:t>100%</w:t>
            </w:r>
          </w:p>
        </w:tc>
      </w:tr>
      <w:tr>
        <w:trPr>
          <w:trHeight w:val="3165" w:hRule="atLeast"/>
        </w:trPr>
        <w:tc>
          <w:tcPr>
            <w:tcW w:w="105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436" w:type="dxa"/>
            <w:tcBorders>
              <w:top w:val="single" w:sz="4" w:space="0" w:color="000000"/>
              <w:left w:val="single" w:sz="4" w:space="0" w:color="000000"/>
              <w:bottom w:val="single" w:sz="4" w:space="0" w:color="000000"/>
              <w:right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14"/>
              </w:rPr>
            </w:pPr>
          </w:p>
          <w:p>
            <w:pPr>
              <w:pStyle w:val="TableParagraph"/>
              <w:spacing w:line="367" w:lineRule="auto"/>
              <w:ind w:left="572" w:right="111" w:hanging="500"/>
              <w:rPr>
                <w:sz w:val="20"/>
              </w:rPr>
            </w:pPr>
            <w:r>
              <w:rPr>
                <w:w w:val="95"/>
                <w:sz w:val="20"/>
              </w:rPr>
              <w:t>日常运行维护服务方案及</w:t>
            </w:r>
            <w:r>
              <w:rPr>
                <w:sz w:val="20"/>
              </w:rPr>
              <w:t>保障措施（20分）</w:t>
            </w:r>
          </w:p>
        </w:tc>
        <w:tc>
          <w:tcPr>
            <w:tcW w:w="4779" w:type="dxa"/>
            <w:tcBorders>
              <w:left w:val="single" w:sz="4" w:space="0" w:color="000000"/>
            </w:tcBorders>
          </w:tcPr>
          <w:p>
            <w:pPr>
              <w:pStyle w:val="TableParagraph"/>
              <w:spacing w:line="242" w:lineRule="auto"/>
              <w:ind w:left="3" w:right="-15" w:firstLine="631"/>
              <w:jc w:val="both"/>
              <w:rPr>
                <w:sz w:val="21"/>
              </w:rPr>
            </w:pPr>
            <w:r>
              <w:rPr>
                <w:spacing w:val="-7"/>
                <w:sz w:val="21"/>
              </w:rPr>
              <w:t>依据 投标 人提供 的服 务方案 进行 打分： </w:t>
            </w:r>
            <w:r>
              <w:rPr>
                <w:spacing w:val="5"/>
                <w:sz w:val="21"/>
              </w:rPr>
              <w:t>服务整体方案详尽、标准高、科学合理，与本项目</w:t>
            </w:r>
            <w:r>
              <w:rPr>
                <w:spacing w:val="7"/>
                <w:sz w:val="21"/>
              </w:rPr>
              <w:t>的实际情况切合度高、可行性强的得</w:t>
            </w:r>
            <w:r>
              <w:rPr>
                <w:sz w:val="21"/>
              </w:rPr>
              <w:t>5.0-10.0</w:t>
            </w:r>
            <w:r>
              <w:rPr>
                <w:spacing w:val="2"/>
                <w:sz w:val="21"/>
              </w:rPr>
              <w:t>分； </w:t>
            </w:r>
            <w:r>
              <w:rPr>
                <w:sz w:val="21"/>
              </w:rPr>
              <w:t>服务方案完整，合理、可行，满足项目要求的得0.1</w:t>
            </w:r>
          </w:p>
          <w:p>
            <w:pPr>
              <w:pStyle w:val="TableParagraph"/>
              <w:ind w:left="3"/>
              <w:rPr>
                <w:sz w:val="21"/>
              </w:rPr>
            </w:pPr>
            <w:r>
              <w:rPr>
                <w:sz w:val="21"/>
              </w:rPr>
              <w:t>-5.0分；</w:t>
            </w:r>
          </w:p>
          <w:p>
            <w:pPr>
              <w:pStyle w:val="TableParagraph"/>
              <w:ind w:left="634"/>
              <w:rPr>
                <w:sz w:val="21"/>
              </w:rPr>
            </w:pPr>
            <w:r>
              <w:rPr>
                <w:sz w:val="21"/>
              </w:rPr>
              <w:t>其他情况不得分。</w:t>
            </w:r>
          </w:p>
          <w:p>
            <w:pPr>
              <w:pStyle w:val="TableParagraph"/>
              <w:spacing w:line="242" w:lineRule="auto" w:before="5"/>
              <w:ind w:left="3" w:right="-15" w:firstLine="420"/>
              <w:jc w:val="both"/>
              <w:rPr>
                <w:sz w:val="21"/>
              </w:rPr>
            </w:pPr>
            <w:r>
              <w:rPr>
                <w:spacing w:val="-35"/>
                <w:sz w:val="21"/>
              </w:rPr>
              <w:t>依 据 投 标 人 提 供 的 保 障 措 施 进 行 打 分 ： </w:t>
            </w:r>
            <w:r>
              <w:rPr>
                <w:spacing w:val="5"/>
                <w:sz w:val="21"/>
              </w:rPr>
              <w:t>保障措施详尽、标准高、措施得力，与本项目的实</w:t>
            </w:r>
            <w:r>
              <w:rPr>
                <w:spacing w:val="-11"/>
                <w:sz w:val="21"/>
              </w:rPr>
              <w:t>际情 况切 合度高 、可 行性强 的得 </w:t>
            </w:r>
            <w:r>
              <w:rPr>
                <w:sz w:val="21"/>
              </w:rPr>
              <w:t>5.0-10.0</w:t>
            </w:r>
            <w:r>
              <w:rPr>
                <w:spacing w:val="-13"/>
                <w:sz w:val="21"/>
              </w:rPr>
              <w:t> 分； 保障措合理、可行，满足项目要求的得0.1-5.0分；</w:t>
            </w:r>
          </w:p>
          <w:p>
            <w:pPr>
              <w:pStyle w:val="TableParagraph"/>
              <w:spacing w:before="2"/>
              <w:ind w:left="634"/>
              <w:rPr>
                <w:sz w:val="21"/>
              </w:rPr>
            </w:pPr>
            <w:r>
              <w:rPr>
                <w:sz w:val="21"/>
              </w:rPr>
              <w:t>其他情况不得分。</w:t>
            </w:r>
          </w:p>
        </w:tc>
      </w:tr>
    </w:tbl>
    <w:p>
      <w:pPr>
        <w:spacing w:after="0"/>
        <w:rPr>
          <w:sz w:val="21"/>
        </w:rPr>
        <w:sectPr>
          <w:pgSz w:w="11910" w:h="16840"/>
          <w:pgMar w:header="0" w:footer="686" w:top="1520" w:bottom="880" w:left="1300" w:right="50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6"/>
        <w:gridCol w:w="994"/>
        <w:gridCol w:w="2436"/>
        <w:gridCol w:w="4779"/>
      </w:tblGrid>
      <w:tr>
        <w:trPr>
          <w:trHeight w:val="271" w:hRule="atLeast"/>
        </w:trPr>
        <w:tc>
          <w:tcPr>
            <w:tcW w:w="1056" w:type="dxa"/>
            <w:tcBorders>
              <w:bottom w:val="nil"/>
            </w:tcBorders>
          </w:tcPr>
          <w:p>
            <w:pPr>
              <w:pStyle w:val="TableParagraph"/>
              <w:rPr>
                <w:rFonts w:ascii="Times New Roman"/>
                <w:sz w:val="20"/>
              </w:rPr>
            </w:pPr>
          </w:p>
        </w:tc>
        <w:tc>
          <w:tcPr>
            <w:tcW w:w="994" w:type="dxa"/>
            <w:tcBorders>
              <w:bottom w:val="nil"/>
            </w:tcBorders>
          </w:tcPr>
          <w:p>
            <w:pPr>
              <w:pStyle w:val="TableParagraph"/>
              <w:rPr>
                <w:rFonts w:ascii="Times New Roman"/>
                <w:sz w:val="20"/>
              </w:rPr>
            </w:pPr>
          </w:p>
        </w:tc>
        <w:tc>
          <w:tcPr>
            <w:tcW w:w="2436" w:type="dxa"/>
            <w:tcBorders>
              <w:bottom w:val="nil"/>
            </w:tcBorders>
          </w:tcPr>
          <w:p>
            <w:pPr>
              <w:pStyle w:val="TableParagraph"/>
              <w:rPr>
                <w:rFonts w:ascii="Times New Roman"/>
                <w:sz w:val="20"/>
              </w:rPr>
            </w:pPr>
          </w:p>
        </w:tc>
        <w:tc>
          <w:tcPr>
            <w:tcW w:w="4779" w:type="dxa"/>
            <w:tcBorders>
              <w:top w:val="single" w:sz="2" w:space="0" w:color="000000"/>
              <w:bottom w:val="nil"/>
              <w:right w:val="single" w:sz="2" w:space="0" w:color="000000"/>
            </w:tcBorders>
          </w:tcPr>
          <w:p>
            <w:pPr>
              <w:pStyle w:val="TableParagraph"/>
              <w:spacing w:line="250" w:lineRule="exact" w:before="1"/>
              <w:ind w:left="3"/>
              <w:rPr>
                <w:sz w:val="21"/>
              </w:rPr>
            </w:pPr>
            <w:r>
              <w:rPr>
                <w:sz w:val="21"/>
              </w:rPr>
              <w:t>依据投标人提供的服务方案进行打分：</w:t>
            </w:r>
          </w:p>
        </w:tc>
      </w:tr>
      <w:tr>
        <w:trPr>
          <w:trHeight w:val="272" w:hRule="atLeast"/>
        </w:trPr>
        <w:tc>
          <w:tcPr>
            <w:tcW w:w="1056" w:type="dxa"/>
            <w:tcBorders>
              <w:top w:val="nil"/>
              <w:bottom w:val="nil"/>
            </w:tcBorders>
          </w:tcPr>
          <w:p>
            <w:pPr>
              <w:pStyle w:val="TableParagraph"/>
              <w:rPr>
                <w:rFonts w:ascii="Times New Roman"/>
                <w:sz w:val="20"/>
              </w:rPr>
            </w:pPr>
          </w:p>
        </w:tc>
        <w:tc>
          <w:tcPr>
            <w:tcW w:w="994" w:type="dxa"/>
            <w:tcBorders>
              <w:top w:val="nil"/>
              <w:bottom w:val="nil"/>
            </w:tcBorders>
          </w:tcPr>
          <w:p>
            <w:pPr>
              <w:pStyle w:val="TableParagraph"/>
              <w:rPr>
                <w:rFonts w:ascii="Times New Roman"/>
                <w:sz w:val="20"/>
              </w:rPr>
            </w:pPr>
          </w:p>
        </w:tc>
        <w:tc>
          <w:tcPr>
            <w:tcW w:w="2436" w:type="dxa"/>
            <w:tcBorders>
              <w:top w:val="nil"/>
              <w:bottom w:val="nil"/>
            </w:tcBorders>
          </w:tcPr>
          <w:p>
            <w:pPr>
              <w:pStyle w:val="TableParagraph"/>
              <w:rPr>
                <w:rFonts w:ascii="Times New Roman"/>
                <w:sz w:val="20"/>
              </w:rPr>
            </w:pPr>
          </w:p>
        </w:tc>
        <w:tc>
          <w:tcPr>
            <w:tcW w:w="4779" w:type="dxa"/>
            <w:tcBorders>
              <w:top w:val="nil"/>
              <w:bottom w:val="nil"/>
              <w:right w:val="single" w:sz="2" w:space="0" w:color="000000"/>
            </w:tcBorders>
          </w:tcPr>
          <w:p>
            <w:pPr>
              <w:pStyle w:val="TableParagraph"/>
              <w:spacing w:line="252" w:lineRule="exact"/>
              <w:ind w:left="3"/>
              <w:rPr>
                <w:sz w:val="21"/>
              </w:rPr>
            </w:pPr>
            <w:r>
              <w:rPr>
                <w:sz w:val="21"/>
              </w:rPr>
              <w:t>服务整体方案详尽、标准高、科学合理，与本项目</w:t>
            </w:r>
          </w:p>
        </w:tc>
      </w:tr>
      <w:tr>
        <w:trPr>
          <w:trHeight w:val="272" w:hRule="atLeast"/>
        </w:trPr>
        <w:tc>
          <w:tcPr>
            <w:tcW w:w="1056" w:type="dxa"/>
            <w:tcBorders>
              <w:top w:val="nil"/>
              <w:bottom w:val="nil"/>
            </w:tcBorders>
          </w:tcPr>
          <w:p>
            <w:pPr>
              <w:pStyle w:val="TableParagraph"/>
              <w:rPr>
                <w:rFonts w:ascii="Times New Roman"/>
                <w:sz w:val="20"/>
              </w:rPr>
            </w:pPr>
          </w:p>
        </w:tc>
        <w:tc>
          <w:tcPr>
            <w:tcW w:w="994" w:type="dxa"/>
            <w:tcBorders>
              <w:top w:val="nil"/>
              <w:bottom w:val="nil"/>
            </w:tcBorders>
          </w:tcPr>
          <w:p>
            <w:pPr>
              <w:pStyle w:val="TableParagraph"/>
              <w:rPr>
                <w:rFonts w:ascii="Times New Roman"/>
                <w:sz w:val="20"/>
              </w:rPr>
            </w:pPr>
          </w:p>
        </w:tc>
        <w:tc>
          <w:tcPr>
            <w:tcW w:w="2436" w:type="dxa"/>
            <w:tcBorders>
              <w:top w:val="nil"/>
              <w:bottom w:val="nil"/>
            </w:tcBorders>
          </w:tcPr>
          <w:p>
            <w:pPr>
              <w:pStyle w:val="TableParagraph"/>
              <w:rPr>
                <w:rFonts w:ascii="Times New Roman"/>
                <w:sz w:val="20"/>
              </w:rPr>
            </w:pPr>
          </w:p>
        </w:tc>
        <w:tc>
          <w:tcPr>
            <w:tcW w:w="4779" w:type="dxa"/>
            <w:tcBorders>
              <w:top w:val="nil"/>
              <w:bottom w:val="nil"/>
              <w:right w:val="single" w:sz="2" w:space="0" w:color="000000"/>
            </w:tcBorders>
          </w:tcPr>
          <w:p>
            <w:pPr>
              <w:pStyle w:val="TableParagraph"/>
              <w:spacing w:line="250" w:lineRule="exact" w:before="2"/>
              <w:ind w:left="3"/>
              <w:rPr>
                <w:sz w:val="21"/>
              </w:rPr>
            </w:pPr>
            <w:r>
              <w:rPr>
                <w:sz w:val="21"/>
              </w:rPr>
              <w:t>的实际情况切合度高、可行性强的得5.0-10.0分；</w:t>
            </w:r>
          </w:p>
        </w:tc>
      </w:tr>
      <w:tr>
        <w:trPr>
          <w:trHeight w:val="272" w:hRule="atLeast"/>
        </w:trPr>
        <w:tc>
          <w:tcPr>
            <w:tcW w:w="1056" w:type="dxa"/>
            <w:tcBorders>
              <w:top w:val="nil"/>
              <w:bottom w:val="nil"/>
            </w:tcBorders>
          </w:tcPr>
          <w:p>
            <w:pPr>
              <w:pStyle w:val="TableParagraph"/>
              <w:rPr>
                <w:rFonts w:ascii="Times New Roman"/>
                <w:sz w:val="20"/>
              </w:rPr>
            </w:pPr>
          </w:p>
        </w:tc>
        <w:tc>
          <w:tcPr>
            <w:tcW w:w="994" w:type="dxa"/>
            <w:tcBorders>
              <w:top w:val="nil"/>
              <w:bottom w:val="nil"/>
            </w:tcBorders>
          </w:tcPr>
          <w:p>
            <w:pPr>
              <w:pStyle w:val="TableParagraph"/>
              <w:rPr>
                <w:rFonts w:ascii="Times New Roman"/>
                <w:sz w:val="20"/>
              </w:rPr>
            </w:pPr>
          </w:p>
        </w:tc>
        <w:tc>
          <w:tcPr>
            <w:tcW w:w="2436" w:type="dxa"/>
            <w:tcBorders>
              <w:top w:val="nil"/>
              <w:bottom w:val="nil"/>
            </w:tcBorders>
          </w:tcPr>
          <w:p>
            <w:pPr>
              <w:pStyle w:val="TableParagraph"/>
              <w:rPr>
                <w:rFonts w:ascii="Times New Roman"/>
                <w:sz w:val="20"/>
              </w:rPr>
            </w:pPr>
          </w:p>
        </w:tc>
        <w:tc>
          <w:tcPr>
            <w:tcW w:w="4779" w:type="dxa"/>
            <w:tcBorders>
              <w:top w:val="nil"/>
              <w:bottom w:val="nil"/>
              <w:right w:val="single" w:sz="2" w:space="0" w:color="000000"/>
            </w:tcBorders>
          </w:tcPr>
          <w:p>
            <w:pPr>
              <w:pStyle w:val="TableParagraph"/>
              <w:spacing w:line="252" w:lineRule="exact"/>
              <w:ind w:left="3"/>
              <w:rPr>
                <w:sz w:val="21"/>
              </w:rPr>
            </w:pPr>
            <w:r>
              <w:rPr>
                <w:sz w:val="21"/>
              </w:rPr>
              <w:t>服务方案完整，合理、可行，满足项目要求的得0.1</w:t>
            </w:r>
          </w:p>
        </w:tc>
      </w:tr>
      <w:tr>
        <w:trPr>
          <w:trHeight w:val="272" w:hRule="atLeast"/>
        </w:trPr>
        <w:tc>
          <w:tcPr>
            <w:tcW w:w="1056" w:type="dxa"/>
            <w:tcBorders>
              <w:top w:val="nil"/>
              <w:bottom w:val="nil"/>
            </w:tcBorders>
          </w:tcPr>
          <w:p>
            <w:pPr>
              <w:pStyle w:val="TableParagraph"/>
              <w:rPr>
                <w:rFonts w:ascii="Times New Roman"/>
                <w:sz w:val="20"/>
              </w:rPr>
            </w:pPr>
          </w:p>
        </w:tc>
        <w:tc>
          <w:tcPr>
            <w:tcW w:w="994" w:type="dxa"/>
            <w:tcBorders>
              <w:top w:val="nil"/>
              <w:bottom w:val="nil"/>
            </w:tcBorders>
          </w:tcPr>
          <w:p>
            <w:pPr>
              <w:pStyle w:val="TableParagraph"/>
              <w:rPr>
                <w:rFonts w:ascii="Times New Roman"/>
                <w:sz w:val="20"/>
              </w:rPr>
            </w:pPr>
          </w:p>
        </w:tc>
        <w:tc>
          <w:tcPr>
            <w:tcW w:w="2436" w:type="dxa"/>
            <w:tcBorders>
              <w:top w:val="nil"/>
              <w:bottom w:val="nil"/>
            </w:tcBorders>
          </w:tcPr>
          <w:p>
            <w:pPr>
              <w:pStyle w:val="TableParagraph"/>
              <w:rPr>
                <w:rFonts w:ascii="Times New Roman"/>
                <w:sz w:val="20"/>
              </w:rPr>
            </w:pPr>
          </w:p>
        </w:tc>
        <w:tc>
          <w:tcPr>
            <w:tcW w:w="4779" w:type="dxa"/>
            <w:tcBorders>
              <w:top w:val="nil"/>
              <w:bottom w:val="nil"/>
              <w:right w:val="single" w:sz="2" w:space="0" w:color="000000"/>
            </w:tcBorders>
          </w:tcPr>
          <w:p>
            <w:pPr>
              <w:pStyle w:val="TableParagraph"/>
              <w:spacing w:line="250" w:lineRule="exact" w:before="2"/>
              <w:ind w:left="3"/>
              <w:rPr>
                <w:sz w:val="21"/>
              </w:rPr>
            </w:pPr>
            <w:r>
              <w:rPr>
                <w:sz w:val="21"/>
              </w:rPr>
              <w:t>-5.0分；</w:t>
            </w:r>
          </w:p>
        </w:tc>
      </w:tr>
      <w:tr>
        <w:trPr>
          <w:trHeight w:val="1089" w:hRule="atLeast"/>
        </w:trPr>
        <w:tc>
          <w:tcPr>
            <w:tcW w:w="1056" w:type="dxa"/>
            <w:tcBorders>
              <w:top w:val="nil"/>
              <w:bottom w:val="nil"/>
            </w:tcBorders>
          </w:tcPr>
          <w:p>
            <w:pPr>
              <w:pStyle w:val="TableParagraph"/>
              <w:rPr>
                <w:rFonts w:ascii="Times New Roman"/>
                <w:sz w:val="20"/>
              </w:rPr>
            </w:pPr>
          </w:p>
        </w:tc>
        <w:tc>
          <w:tcPr>
            <w:tcW w:w="994" w:type="dxa"/>
            <w:tcBorders>
              <w:top w:val="nil"/>
              <w:bottom w:val="nil"/>
            </w:tcBorders>
          </w:tcPr>
          <w:p>
            <w:pPr>
              <w:pStyle w:val="TableParagraph"/>
              <w:rPr>
                <w:rFonts w:ascii="Times New Roman"/>
                <w:sz w:val="20"/>
              </w:rPr>
            </w:pPr>
          </w:p>
        </w:tc>
        <w:tc>
          <w:tcPr>
            <w:tcW w:w="2436" w:type="dxa"/>
            <w:tcBorders>
              <w:top w:val="nil"/>
              <w:bottom w:val="nil"/>
            </w:tcBorders>
          </w:tcPr>
          <w:p>
            <w:pPr>
              <w:pStyle w:val="TableParagraph"/>
              <w:spacing w:line="244" w:lineRule="auto" w:before="87"/>
              <w:ind w:left="3" w:right="8"/>
              <w:rPr>
                <w:sz w:val="21"/>
              </w:rPr>
            </w:pPr>
            <w:r>
              <w:rPr>
                <w:sz w:val="21"/>
              </w:rPr>
              <w:t>技改、更新及维修服务方案及保障措施</w:t>
            </w:r>
            <w:r>
              <w:rPr>
                <w:sz w:val="22"/>
              </w:rPr>
              <w:t>方案</w:t>
            </w:r>
            <w:r>
              <w:rPr>
                <w:sz w:val="21"/>
              </w:rPr>
              <w:t>（</w:t>
            </w:r>
            <w:r>
              <w:rPr>
                <w:rFonts w:ascii="Arial" w:eastAsia="Arial"/>
                <w:sz w:val="21"/>
              </w:rPr>
              <w:t>20 </w:t>
            </w:r>
            <w:r>
              <w:rPr>
                <w:sz w:val="21"/>
              </w:rPr>
              <w:t>分</w:t>
            </w:r>
          </w:p>
          <w:p>
            <w:pPr>
              <w:pStyle w:val="TableParagraph"/>
              <w:spacing w:line="266" w:lineRule="exact"/>
              <w:ind w:left="3"/>
              <w:rPr>
                <w:sz w:val="21"/>
              </w:rPr>
            </w:pPr>
            <w:r>
              <w:rPr>
                <w:w w:val="99"/>
                <w:sz w:val="21"/>
              </w:rPr>
              <w:t>）</w:t>
            </w:r>
          </w:p>
        </w:tc>
        <w:tc>
          <w:tcPr>
            <w:tcW w:w="4779" w:type="dxa"/>
            <w:tcBorders>
              <w:top w:val="nil"/>
              <w:bottom w:val="nil"/>
              <w:right w:val="single" w:sz="2" w:space="0" w:color="000000"/>
            </w:tcBorders>
          </w:tcPr>
          <w:p>
            <w:pPr>
              <w:pStyle w:val="TableParagraph"/>
              <w:ind w:left="3"/>
              <w:rPr>
                <w:sz w:val="21"/>
              </w:rPr>
            </w:pPr>
            <w:r>
              <w:rPr>
                <w:sz w:val="21"/>
              </w:rPr>
              <w:t>其他情况不得分。</w:t>
            </w:r>
          </w:p>
          <w:p>
            <w:pPr>
              <w:pStyle w:val="TableParagraph"/>
              <w:spacing w:before="5"/>
              <w:ind w:left="3"/>
              <w:rPr>
                <w:sz w:val="21"/>
              </w:rPr>
            </w:pPr>
            <w:r>
              <w:rPr>
                <w:sz w:val="21"/>
              </w:rPr>
              <w:t>依据投标人提供的保障措施进行打分：</w:t>
            </w:r>
          </w:p>
          <w:p>
            <w:pPr>
              <w:pStyle w:val="TableParagraph"/>
              <w:spacing w:before="2"/>
              <w:ind w:left="3"/>
              <w:rPr>
                <w:sz w:val="21"/>
              </w:rPr>
            </w:pPr>
            <w:r>
              <w:rPr>
                <w:sz w:val="21"/>
              </w:rPr>
              <w:t>保障措施详尽、标准高、措施得力，与本项目的实</w:t>
            </w:r>
          </w:p>
          <w:p>
            <w:pPr>
              <w:pStyle w:val="TableParagraph"/>
              <w:spacing w:line="250" w:lineRule="exact" w:before="5"/>
              <w:ind w:left="3"/>
              <w:rPr>
                <w:sz w:val="21"/>
              </w:rPr>
            </w:pPr>
            <w:r>
              <w:rPr>
                <w:sz w:val="21"/>
              </w:rPr>
              <w:t>际情况切合度高、可行性强的得5.0-10.0分；</w:t>
            </w:r>
          </w:p>
        </w:tc>
      </w:tr>
      <w:tr>
        <w:trPr>
          <w:trHeight w:val="272" w:hRule="atLeast"/>
        </w:trPr>
        <w:tc>
          <w:tcPr>
            <w:tcW w:w="1056" w:type="dxa"/>
            <w:tcBorders>
              <w:top w:val="nil"/>
              <w:bottom w:val="nil"/>
            </w:tcBorders>
          </w:tcPr>
          <w:p>
            <w:pPr>
              <w:pStyle w:val="TableParagraph"/>
              <w:rPr>
                <w:rFonts w:ascii="Times New Roman"/>
                <w:sz w:val="20"/>
              </w:rPr>
            </w:pPr>
          </w:p>
        </w:tc>
        <w:tc>
          <w:tcPr>
            <w:tcW w:w="994" w:type="dxa"/>
            <w:tcBorders>
              <w:top w:val="nil"/>
              <w:bottom w:val="nil"/>
            </w:tcBorders>
          </w:tcPr>
          <w:p>
            <w:pPr>
              <w:pStyle w:val="TableParagraph"/>
              <w:rPr>
                <w:rFonts w:ascii="Times New Roman"/>
                <w:sz w:val="20"/>
              </w:rPr>
            </w:pPr>
          </w:p>
        </w:tc>
        <w:tc>
          <w:tcPr>
            <w:tcW w:w="2436" w:type="dxa"/>
            <w:tcBorders>
              <w:top w:val="nil"/>
              <w:bottom w:val="nil"/>
            </w:tcBorders>
          </w:tcPr>
          <w:p>
            <w:pPr>
              <w:pStyle w:val="TableParagraph"/>
              <w:rPr>
                <w:rFonts w:ascii="Times New Roman"/>
                <w:sz w:val="20"/>
              </w:rPr>
            </w:pPr>
          </w:p>
        </w:tc>
        <w:tc>
          <w:tcPr>
            <w:tcW w:w="4779" w:type="dxa"/>
            <w:tcBorders>
              <w:top w:val="nil"/>
              <w:bottom w:val="nil"/>
              <w:right w:val="single" w:sz="2" w:space="0" w:color="000000"/>
            </w:tcBorders>
          </w:tcPr>
          <w:p>
            <w:pPr>
              <w:pStyle w:val="TableParagraph"/>
              <w:spacing w:line="252" w:lineRule="exact"/>
              <w:ind w:left="3"/>
              <w:rPr>
                <w:sz w:val="21"/>
              </w:rPr>
            </w:pPr>
            <w:r>
              <w:rPr>
                <w:sz w:val="21"/>
              </w:rPr>
              <w:t>保障措合理、可行，满足项目要求的得0.1-5.0分；</w:t>
            </w:r>
          </w:p>
        </w:tc>
      </w:tr>
      <w:tr>
        <w:trPr>
          <w:trHeight w:val="270" w:hRule="atLeast"/>
        </w:trPr>
        <w:tc>
          <w:tcPr>
            <w:tcW w:w="1056" w:type="dxa"/>
            <w:vMerge w:val="restart"/>
            <w:tcBorders>
              <w:top w:val="nil"/>
              <w:bottom w:val="nil"/>
            </w:tcBorders>
          </w:tcPr>
          <w:p>
            <w:pPr>
              <w:pStyle w:val="TableParagraph"/>
              <w:rPr>
                <w:rFonts w:ascii="Times New Roman"/>
                <w:sz w:val="20"/>
              </w:rPr>
            </w:pPr>
          </w:p>
        </w:tc>
        <w:tc>
          <w:tcPr>
            <w:tcW w:w="994" w:type="dxa"/>
            <w:vMerge w:val="restart"/>
            <w:tcBorders>
              <w:top w:val="nil"/>
              <w:bottom w:val="nil"/>
            </w:tcBorders>
          </w:tcPr>
          <w:p>
            <w:pPr>
              <w:pStyle w:val="TableParagraph"/>
              <w:spacing w:line="218" w:lineRule="exact" w:before="76"/>
              <w:ind w:left="13" w:right="-15"/>
              <w:rPr>
                <w:sz w:val="21"/>
              </w:rPr>
            </w:pPr>
            <w:r>
              <w:rPr>
                <w:spacing w:val="-28"/>
                <w:sz w:val="21"/>
              </w:rPr>
              <w:t>服 务 方 案</w:t>
            </w:r>
          </w:p>
        </w:tc>
        <w:tc>
          <w:tcPr>
            <w:tcW w:w="2436" w:type="dxa"/>
            <w:tcBorders>
              <w:top w:val="nil"/>
            </w:tcBorders>
          </w:tcPr>
          <w:p>
            <w:pPr>
              <w:pStyle w:val="TableParagraph"/>
              <w:rPr>
                <w:rFonts w:ascii="Times New Roman"/>
                <w:sz w:val="20"/>
              </w:rPr>
            </w:pPr>
          </w:p>
        </w:tc>
        <w:tc>
          <w:tcPr>
            <w:tcW w:w="4779" w:type="dxa"/>
            <w:tcBorders>
              <w:top w:val="nil"/>
              <w:bottom w:val="single" w:sz="2" w:space="0" w:color="000000"/>
              <w:right w:val="single" w:sz="2" w:space="0" w:color="000000"/>
            </w:tcBorders>
          </w:tcPr>
          <w:p>
            <w:pPr>
              <w:pStyle w:val="TableParagraph"/>
              <w:spacing w:line="249" w:lineRule="exact" w:before="2"/>
              <w:ind w:left="3"/>
              <w:rPr>
                <w:sz w:val="21"/>
              </w:rPr>
            </w:pPr>
            <w:r>
              <w:rPr>
                <w:sz w:val="21"/>
              </w:rPr>
              <w:t>其他情况不得分。</w:t>
            </w:r>
          </w:p>
        </w:tc>
      </w:tr>
      <w:tr>
        <w:trPr>
          <w:trHeight w:val="33" w:hRule="atLeast"/>
        </w:trPr>
        <w:tc>
          <w:tcPr>
            <w:tcW w:w="1056" w:type="dxa"/>
            <w:vMerge/>
            <w:tcBorders>
              <w:top w:val="nil"/>
              <w:bottom w:val="nil"/>
            </w:tcBorders>
          </w:tcPr>
          <w:p>
            <w:pPr>
              <w:rPr>
                <w:sz w:val="2"/>
                <w:szCs w:val="2"/>
              </w:rPr>
            </w:pPr>
          </w:p>
        </w:tc>
        <w:tc>
          <w:tcPr>
            <w:tcW w:w="994" w:type="dxa"/>
            <w:vMerge/>
            <w:tcBorders>
              <w:top w:val="nil"/>
              <w:bottom w:val="nil"/>
            </w:tcBorders>
          </w:tcPr>
          <w:p>
            <w:pPr>
              <w:rPr>
                <w:sz w:val="2"/>
                <w:szCs w:val="2"/>
              </w:rPr>
            </w:pPr>
          </w:p>
        </w:tc>
        <w:tc>
          <w:tcPr>
            <w:tcW w:w="2436" w:type="dxa"/>
            <w:tcBorders>
              <w:bottom w:val="nil"/>
            </w:tcBorders>
          </w:tcPr>
          <w:p>
            <w:pPr>
              <w:pStyle w:val="TableParagraph"/>
              <w:rPr>
                <w:rFonts w:ascii="Times New Roman"/>
                <w:sz w:val="2"/>
              </w:rPr>
            </w:pPr>
          </w:p>
        </w:tc>
        <w:tc>
          <w:tcPr>
            <w:tcW w:w="4779" w:type="dxa"/>
            <w:tcBorders>
              <w:top w:val="single" w:sz="2" w:space="0" w:color="000000"/>
              <w:bottom w:val="nil"/>
              <w:right w:val="single" w:sz="2" w:space="0" w:color="000000"/>
            </w:tcBorders>
          </w:tcPr>
          <w:p>
            <w:pPr>
              <w:pStyle w:val="TableParagraph"/>
              <w:rPr>
                <w:rFonts w:ascii="Times New Roman"/>
                <w:sz w:val="2"/>
              </w:rPr>
            </w:pPr>
          </w:p>
        </w:tc>
      </w:tr>
      <w:tr>
        <w:trPr>
          <w:trHeight w:val="208" w:hRule="atLeast"/>
        </w:trPr>
        <w:tc>
          <w:tcPr>
            <w:tcW w:w="1056" w:type="dxa"/>
            <w:tcBorders>
              <w:top w:val="nil"/>
              <w:bottom w:val="nil"/>
            </w:tcBorders>
          </w:tcPr>
          <w:p>
            <w:pPr>
              <w:pStyle w:val="TableParagraph"/>
              <w:rPr>
                <w:rFonts w:ascii="Times New Roman"/>
                <w:sz w:val="14"/>
              </w:rPr>
            </w:pPr>
          </w:p>
        </w:tc>
        <w:tc>
          <w:tcPr>
            <w:tcW w:w="994" w:type="dxa"/>
            <w:tcBorders>
              <w:top w:val="nil"/>
              <w:bottom w:val="nil"/>
            </w:tcBorders>
          </w:tcPr>
          <w:p>
            <w:pPr>
              <w:pStyle w:val="TableParagraph"/>
              <w:rPr>
                <w:rFonts w:ascii="Times New Roman"/>
                <w:sz w:val="14"/>
              </w:rPr>
            </w:pPr>
          </w:p>
        </w:tc>
        <w:tc>
          <w:tcPr>
            <w:tcW w:w="2436" w:type="dxa"/>
            <w:tcBorders>
              <w:top w:val="nil"/>
              <w:bottom w:val="nil"/>
            </w:tcBorders>
          </w:tcPr>
          <w:p>
            <w:pPr>
              <w:pStyle w:val="TableParagraph"/>
              <w:rPr>
                <w:rFonts w:ascii="Times New Roman"/>
                <w:sz w:val="14"/>
              </w:rPr>
            </w:pPr>
          </w:p>
        </w:tc>
        <w:tc>
          <w:tcPr>
            <w:tcW w:w="4779" w:type="dxa"/>
            <w:tcBorders>
              <w:top w:val="nil"/>
              <w:bottom w:val="nil"/>
              <w:right w:val="single" w:sz="2" w:space="0" w:color="000000"/>
            </w:tcBorders>
          </w:tcPr>
          <w:p>
            <w:pPr>
              <w:pStyle w:val="TableParagraph"/>
              <w:spacing w:line="189" w:lineRule="exact"/>
              <w:ind w:left="3"/>
              <w:rPr>
                <w:sz w:val="21"/>
              </w:rPr>
            </w:pPr>
            <w:r>
              <w:rPr>
                <w:sz w:val="21"/>
              </w:rPr>
              <w:t>依据投标人提供的服务方案进行打分：</w:t>
            </w:r>
          </w:p>
        </w:tc>
      </w:tr>
      <w:tr>
        <w:trPr>
          <w:trHeight w:val="302" w:hRule="atLeast"/>
        </w:trPr>
        <w:tc>
          <w:tcPr>
            <w:tcW w:w="1056" w:type="dxa"/>
            <w:tcBorders>
              <w:top w:val="nil"/>
              <w:bottom w:val="nil"/>
            </w:tcBorders>
          </w:tcPr>
          <w:p>
            <w:pPr>
              <w:pStyle w:val="TableParagraph"/>
              <w:spacing w:before="19"/>
              <w:ind w:left="198"/>
              <w:rPr>
                <w:sz w:val="20"/>
              </w:rPr>
            </w:pPr>
            <w:r>
              <w:rPr>
                <w:sz w:val="20"/>
              </w:rPr>
              <w:t>2.2.4</w:t>
            </w:r>
          </w:p>
        </w:tc>
        <w:tc>
          <w:tcPr>
            <w:tcW w:w="994" w:type="dxa"/>
            <w:tcBorders>
              <w:top w:val="nil"/>
              <w:bottom w:val="nil"/>
            </w:tcBorders>
          </w:tcPr>
          <w:p>
            <w:pPr>
              <w:pStyle w:val="TableParagraph"/>
              <w:spacing w:line="240" w:lineRule="exact"/>
              <w:ind w:left="11"/>
              <w:rPr>
                <w:sz w:val="21"/>
              </w:rPr>
            </w:pPr>
            <w:r>
              <w:rPr>
                <w:spacing w:val="-28"/>
                <w:sz w:val="21"/>
              </w:rPr>
              <w:t>评 分 标 准</w:t>
            </w:r>
          </w:p>
        </w:tc>
        <w:tc>
          <w:tcPr>
            <w:tcW w:w="2436" w:type="dxa"/>
            <w:tcBorders>
              <w:top w:val="nil"/>
              <w:bottom w:val="nil"/>
            </w:tcBorders>
          </w:tcPr>
          <w:p>
            <w:pPr>
              <w:pStyle w:val="TableParagraph"/>
              <w:rPr>
                <w:rFonts w:ascii="Times New Roman"/>
                <w:sz w:val="20"/>
              </w:rPr>
            </w:pPr>
          </w:p>
        </w:tc>
        <w:tc>
          <w:tcPr>
            <w:tcW w:w="4779" w:type="dxa"/>
            <w:tcBorders>
              <w:top w:val="nil"/>
              <w:bottom w:val="nil"/>
              <w:right w:val="single" w:sz="2" w:space="0" w:color="000000"/>
            </w:tcBorders>
          </w:tcPr>
          <w:p>
            <w:pPr>
              <w:pStyle w:val="TableParagraph"/>
              <w:spacing w:line="252" w:lineRule="exact" w:before="30"/>
              <w:ind w:left="3"/>
              <w:rPr>
                <w:sz w:val="21"/>
              </w:rPr>
            </w:pPr>
            <w:r>
              <w:rPr>
                <w:sz w:val="21"/>
              </w:rPr>
              <w:t>服务整体方案详尽、标准高、科学合理，与本项目</w:t>
            </w:r>
          </w:p>
        </w:tc>
      </w:tr>
      <w:tr>
        <w:trPr>
          <w:trHeight w:val="1089" w:hRule="atLeast"/>
        </w:trPr>
        <w:tc>
          <w:tcPr>
            <w:tcW w:w="1056" w:type="dxa"/>
            <w:tcBorders>
              <w:top w:val="nil"/>
              <w:bottom w:val="nil"/>
            </w:tcBorders>
          </w:tcPr>
          <w:p>
            <w:pPr>
              <w:pStyle w:val="TableParagraph"/>
              <w:spacing w:before="156"/>
              <w:ind w:left="205"/>
              <w:rPr>
                <w:sz w:val="20"/>
              </w:rPr>
            </w:pPr>
            <w:r>
              <w:rPr>
                <w:sz w:val="20"/>
              </w:rPr>
              <w:t>（2）</w:t>
            </w:r>
          </w:p>
        </w:tc>
        <w:tc>
          <w:tcPr>
            <w:tcW w:w="994" w:type="dxa"/>
            <w:tcBorders>
              <w:top w:val="nil"/>
              <w:bottom w:val="nil"/>
            </w:tcBorders>
          </w:tcPr>
          <w:p>
            <w:pPr>
              <w:pStyle w:val="TableParagraph"/>
              <w:spacing w:before="88"/>
              <w:ind w:left="11"/>
              <w:rPr>
                <w:sz w:val="21"/>
              </w:rPr>
            </w:pPr>
            <w:r>
              <w:rPr>
                <w:sz w:val="21"/>
              </w:rPr>
              <w:t>（60分）</w:t>
            </w:r>
          </w:p>
        </w:tc>
        <w:tc>
          <w:tcPr>
            <w:tcW w:w="2436" w:type="dxa"/>
            <w:tcBorders>
              <w:top w:val="nil"/>
              <w:bottom w:val="nil"/>
            </w:tcBorders>
          </w:tcPr>
          <w:p>
            <w:pPr>
              <w:pStyle w:val="TableParagraph"/>
              <w:rPr>
                <w:b/>
                <w:sz w:val="20"/>
              </w:rPr>
            </w:pPr>
          </w:p>
          <w:p>
            <w:pPr>
              <w:pStyle w:val="TableParagraph"/>
              <w:spacing w:line="244" w:lineRule="auto" w:before="165"/>
              <w:ind w:left="3" w:right="111"/>
              <w:rPr>
                <w:sz w:val="21"/>
              </w:rPr>
            </w:pPr>
            <w:r>
              <w:rPr>
                <w:w w:val="95"/>
                <w:sz w:val="21"/>
              </w:rPr>
              <w:t>事故处理和应急响应服务方案及保障措施（20分）</w:t>
            </w:r>
          </w:p>
        </w:tc>
        <w:tc>
          <w:tcPr>
            <w:tcW w:w="4779" w:type="dxa"/>
            <w:tcBorders>
              <w:top w:val="nil"/>
              <w:bottom w:val="nil"/>
              <w:right w:val="single" w:sz="2" w:space="0" w:color="000000"/>
            </w:tcBorders>
          </w:tcPr>
          <w:p>
            <w:pPr>
              <w:pStyle w:val="TableParagraph"/>
              <w:spacing w:line="244" w:lineRule="auto" w:before="2"/>
              <w:ind w:left="3" w:right="39"/>
              <w:rPr>
                <w:sz w:val="21"/>
              </w:rPr>
            </w:pPr>
            <w:r>
              <w:rPr>
                <w:sz w:val="21"/>
              </w:rPr>
              <w:t>的实际情况切合度高、可行性强的得5.1-10.0分； 服务方案完整，合理、可行，满足项目要求的得0.1</w:t>
            </w:r>
          </w:p>
          <w:p>
            <w:pPr>
              <w:pStyle w:val="TableParagraph"/>
              <w:spacing w:line="265" w:lineRule="exact"/>
              <w:ind w:left="3"/>
              <w:rPr>
                <w:sz w:val="21"/>
              </w:rPr>
            </w:pPr>
            <w:r>
              <w:rPr>
                <w:sz w:val="21"/>
              </w:rPr>
              <w:t>-5.0分；</w:t>
            </w:r>
          </w:p>
          <w:p>
            <w:pPr>
              <w:pStyle w:val="TableParagraph"/>
              <w:spacing w:line="252" w:lineRule="exact" w:before="2"/>
              <w:ind w:left="3"/>
              <w:rPr>
                <w:sz w:val="21"/>
              </w:rPr>
            </w:pPr>
            <w:r>
              <w:rPr>
                <w:sz w:val="21"/>
              </w:rPr>
              <w:t>其他情况不得分。</w:t>
            </w:r>
          </w:p>
        </w:tc>
      </w:tr>
      <w:tr>
        <w:trPr>
          <w:trHeight w:val="272" w:hRule="atLeast"/>
        </w:trPr>
        <w:tc>
          <w:tcPr>
            <w:tcW w:w="1056" w:type="dxa"/>
            <w:tcBorders>
              <w:top w:val="nil"/>
              <w:bottom w:val="nil"/>
            </w:tcBorders>
          </w:tcPr>
          <w:p>
            <w:pPr>
              <w:pStyle w:val="TableParagraph"/>
              <w:rPr>
                <w:rFonts w:ascii="Times New Roman"/>
                <w:sz w:val="20"/>
              </w:rPr>
            </w:pPr>
          </w:p>
        </w:tc>
        <w:tc>
          <w:tcPr>
            <w:tcW w:w="994" w:type="dxa"/>
            <w:tcBorders>
              <w:top w:val="nil"/>
              <w:bottom w:val="nil"/>
            </w:tcBorders>
          </w:tcPr>
          <w:p>
            <w:pPr>
              <w:pStyle w:val="TableParagraph"/>
              <w:rPr>
                <w:rFonts w:ascii="Times New Roman"/>
                <w:sz w:val="20"/>
              </w:rPr>
            </w:pPr>
          </w:p>
        </w:tc>
        <w:tc>
          <w:tcPr>
            <w:tcW w:w="2436" w:type="dxa"/>
            <w:tcBorders>
              <w:top w:val="nil"/>
              <w:bottom w:val="nil"/>
            </w:tcBorders>
          </w:tcPr>
          <w:p>
            <w:pPr>
              <w:pStyle w:val="TableParagraph"/>
              <w:rPr>
                <w:rFonts w:ascii="Times New Roman"/>
                <w:sz w:val="20"/>
              </w:rPr>
            </w:pPr>
          </w:p>
        </w:tc>
        <w:tc>
          <w:tcPr>
            <w:tcW w:w="4779" w:type="dxa"/>
            <w:tcBorders>
              <w:top w:val="nil"/>
              <w:bottom w:val="nil"/>
              <w:right w:val="single" w:sz="2" w:space="0" w:color="000000"/>
            </w:tcBorders>
          </w:tcPr>
          <w:p>
            <w:pPr>
              <w:pStyle w:val="TableParagraph"/>
              <w:spacing w:line="250" w:lineRule="exact" w:before="2"/>
              <w:ind w:left="3"/>
              <w:rPr>
                <w:sz w:val="21"/>
              </w:rPr>
            </w:pPr>
            <w:r>
              <w:rPr>
                <w:sz w:val="21"/>
              </w:rPr>
              <w:t>依据投标人提供的保障措施进行打分：</w:t>
            </w:r>
          </w:p>
        </w:tc>
      </w:tr>
      <w:tr>
        <w:trPr>
          <w:trHeight w:val="272" w:hRule="atLeast"/>
        </w:trPr>
        <w:tc>
          <w:tcPr>
            <w:tcW w:w="1056" w:type="dxa"/>
            <w:tcBorders>
              <w:top w:val="nil"/>
              <w:bottom w:val="nil"/>
            </w:tcBorders>
          </w:tcPr>
          <w:p>
            <w:pPr>
              <w:pStyle w:val="TableParagraph"/>
              <w:rPr>
                <w:rFonts w:ascii="Times New Roman"/>
                <w:sz w:val="20"/>
              </w:rPr>
            </w:pPr>
          </w:p>
        </w:tc>
        <w:tc>
          <w:tcPr>
            <w:tcW w:w="994" w:type="dxa"/>
            <w:tcBorders>
              <w:top w:val="nil"/>
              <w:bottom w:val="nil"/>
            </w:tcBorders>
          </w:tcPr>
          <w:p>
            <w:pPr>
              <w:pStyle w:val="TableParagraph"/>
              <w:rPr>
                <w:rFonts w:ascii="Times New Roman"/>
                <w:sz w:val="20"/>
              </w:rPr>
            </w:pPr>
          </w:p>
        </w:tc>
        <w:tc>
          <w:tcPr>
            <w:tcW w:w="2436" w:type="dxa"/>
            <w:tcBorders>
              <w:top w:val="nil"/>
              <w:bottom w:val="nil"/>
            </w:tcBorders>
          </w:tcPr>
          <w:p>
            <w:pPr>
              <w:pStyle w:val="TableParagraph"/>
              <w:rPr>
                <w:rFonts w:ascii="Times New Roman"/>
                <w:sz w:val="20"/>
              </w:rPr>
            </w:pPr>
          </w:p>
        </w:tc>
        <w:tc>
          <w:tcPr>
            <w:tcW w:w="4779" w:type="dxa"/>
            <w:tcBorders>
              <w:top w:val="nil"/>
              <w:bottom w:val="nil"/>
              <w:right w:val="single" w:sz="2" w:space="0" w:color="000000"/>
            </w:tcBorders>
          </w:tcPr>
          <w:p>
            <w:pPr>
              <w:pStyle w:val="TableParagraph"/>
              <w:spacing w:line="252" w:lineRule="exact"/>
              <w:ind w:left="3"/>
              <w:rPr>
                <w:sz w:val="21"/>
              </w:rPr>
            </w:pPr>
            <w:r>
              <w:rPr>
                <w:sz w:val="21"/>
              </w:rPr>
              <w:t>保障措施详尽、标准高、措施得力，与本项目的实</w:t>
            </w:r>
          </w:p>
        </w:tc>
      </w:tr>
      <w:tr>
        <w:trPr>
          <w:trHeight w:val="272" w:hRule="atLeast"/>
        </w:trPr>
        <w:tc>
          <w:tcPr>
            <w:tcW w:w="1056" w:type="dxa"/>
            <w:tcBorders>
              <w:top w:val="nil"/>
              <w:bottom w:val="nil"/>
            </w:tcBorders>
          </w:tcPr>
          <w:p>
            <w:pPr>
              <w:pStyle w:val="TableParagraph"/>
              <w:rPr>
                <w:rFonts w:ascii="Times New Roman"/>
                <w:sz w:val="20"/>
              </w:rPr>
            </w:pPr>
          </w:p>
        </w:tc>
        <w:tc>
          <w:tcPr>
            <w:tcW w:w="994" w:type="dxa"/>
            <w:tcBorders>
              <w:top w:val="nil"/>
              <w:bottom w:val="nil"/>
            </w:tcBorders>
          </w:tcPr>
          <w:p>
            <w:pPr>
              <w:pStyle w:val="TableParagraph"/>
              <w:rPr>
                <w:rFonts w:ascii="Times New Roman"/>
                <w:sz w:val="20"/>
              </w:rPr>
            </w:pPr>
          </w:p>
        </w:tc>
        <w:tc>
          <w:tcPr>
            <w:tcW w:w="2436" w:type="dxa"/>
            <w:tcBorders>
              <w:top w:val="nil"/>
              <w:bottom w:val="nil"/>
            </w:tcBorders>
          </w:tcPr>
          <w:p>
            <w:pPr>
              <w:pStyle w:val="TableParagraph"/>
              <w:rPr>
                <w:rFonts w:ascii="Times New Roman"/>
                <w:sz w:val="20"/>
              </w:rPr>
            </w:pPr>
          </w:p>
        </w:tc>
        <w:tc>
          <w:tcPr>
            <w:tcW w:w="4779" w:type="dxa"/>
            <w:tcBorders>
              <w:top w:val="nil"/>
              <w:bottom w:val="nil"/>
              <w:right w:val="single" w:sz="2" w:space="0" w:color="000000"/>
            </w:tcBorders>
          </w:tcPr>
          <w:p>
            <w:pPr>
              <w:pStyle w:val="TableParagraph"/>
              <w:spacing w:line="250" w:lineRule="exact" w:before="2"/>
              <w:ind w:left="3"/>
              <w:rPr>
                <w:sz w:val="21"/>
              </w:rPr>
            </w:pPr>
            <w:r>
              <w:rPr>
                <w:sz w:val="21"/>
              </w:rPr>
              <w:t>际情况切合度高、可行性强的得5.1-10.0分；</w:t>
            </w:r>
          </w:p>
        </w:tc>
      </w:tr>
      <w:tr>
        <w:trPr>
          <w:trHeight w:val="272" w:hRule="atLeast"/>
        </w:trPr>
        <w:tc>
          <w:tcPr>
            <w:tcW w:w="1056" w:type="dxa"/>
            <w:tcBorders>
              <w:top w:val="nil"/>
              <w:bottom w:val="nil"/>
            </w:tcBorders>
          </w:tcPr>
          <w:p>
            <w:pPr>
              <w:pStyle w:val="TableParagraph"/>
              <w:rPr>
                <w:rFonts w:ascii="Times New Roman"/>
                <w:sz w:val="20"/>
              </w:rPr>
            </w:pPr>
          </w:p>
        </w:tc>
        <w:tc>
          <w:tcPr>
            <w:tcW w:w="994" w:type="dxa"/>
            <w:tcBorders>
              <w:top w:val="nil"/>
              <w:bottom w:val="nil"/>
            </w:tcBorders>
          </w:tcPr>
          <w:p>
            <w:pPr>
              <w:pStyle w:val="TableParagraph"/>
              <w:rPr>
                <w:rFonts w:ascii="Times New Roman"/>
                <w:sz w:val="20"/>
              </w:rPr>
            </w:pPr>
          </w:p>
        </w:tc>
        <w:tc>
          <w:tcPr>
            <w:tcW w:w="2436" w:type="dxa"/>
            <w:tcBorders>
              <w:top w:val="nil"/>
              <w:bottom w:val="nil"/>
            </w:tcBorders>
          </w:tcPr>
          <w:p>
            <w:pPr>
              <w:pStyle w:val="TableParagraph"/>
              <w:rPr>
                <w:rFonts w:ascii="Times New Roman"/>
                <w:sz w:val="20"/>
              </w:rPr>
            </w:pPr>
          </w:p>
        </w:tc>
        <w:tc>
          <w:tcPr>
            <w:tcW w:w="4779" w:type="dxa"/>
            <w:tcBorders>
              <w:top w:val="nil"/>
              <w:bottom w:val="nil"/>
              <w:right w:val="single" w:sz="2" w:space="0" w:color="000000"/>
            </w:tcBorders>
          </w:tcPr>
          <w:p>
            <w:pPr>
              <w:pStyle w:val="TableParagraph"/>
              <w:spacing w:line="252" w:lineRule="exact"/>
              <w:ind w:left="3"/>
              <w:rPr>
                <w:sz w:val="21"/>
              </w:rPr>
            </w:pPr>
            <w:r>
              <w:rPr>
                <w:sz w:val="21"/>
              </w:rPr>
              <w:t>保障措合理、可行，满足项目要求的得0.1-5.0分；</w:t>
            </w:r>
          </w:p>
        </w:tc>
      </w:tr>
      <w:tr>
        <w:trPr>
          <w:trHeight w:val="274" w:hRule="atLeast"/>
        </w:trPr>
        <w:tc>
          <w:tcPr>
            <w:tcW w:w="1056" w:type="dxa"/>
            <w:tcBorders>
              <w:top w:val="nil"/>
            </w:tcBorders>
          </w:tcPr>
          <w:p>
            <w:pPr>
              <w:pStyle w:val="TableParagraph"/>
              <w:rPr>
                <w:rFonts w:ascii="Times New Roman"/>
                <w:sz w:val="20"/>
              </w:rPr>
            </w:pPr>
          </w:p>
        </w:tc>
        <w:tc>
          <w:tcPr>
            <w:tcW w:w="994" w:type="dxa"/>
            <w:tcBorders>
              <w:top w:val="nil"/>
            </w:tcBorders>
          </w:tcPr>
          <w:p>
            <w:pPr>
              <w:pStyle w:val="TableParagraph"/>
              <w:rPr>
                <w:rFonts w:ascii="Times New Roman"/>
                <w:sz w:val="20"/>
              </w:rPr>
            </w:pPr>
          </w:p>
        </w:tc>
        <w:tc>
          <w:tcPr>
            <w:tcW w:w="2436" w:type="dxa"/>
            <w:tcBorders>
              <w:top w:val="nil"/>
            </w:tcBorders>
          </w:tcPr>
          <w:p>
            <w:pPr>
              <w:pStyle w:val="TableParagraph"/>
              <w:rPr>
                <w:rFonts w:ascii="Times New Roman"/>
                <w:sz w:val="20"/>
              </w:rPr>
            </w:pPr>
          </w:p>
        </w:tc>
        <w:tc>
          <w:tcPr>
            <w:tcW w:w="4779" w:type="dxa"/>
            <w:tcBorders>
              <w:top w:val="nil"/>
              <w:bottom w:val="single" w:sz="2" w:space="0" w:color="000000"/>
              <w:right w:val="single" w:sz="2" w:space="0" w:color="000000"/>
            </w:tcBorders>
          </w:tcPr>
          <w:p>
            <w:pPr>
              <w:pStyle w:val="TableParagraph"/>
              <w:spacing w:line="252" w:lineRule="exact" w:before="2"/>
              <w:ind w:left="3"/>
              <w:rPr>
                <w:sz w:val="21"/>
              </w:rPr>
            </w:pPr>
            <w:r>
              <w:rPr>
                <w:sz w:val="21"/>
              </w:rPr>
              <w:t>其他情况不得分。</w:t>
            </w:r>
          </w:p>
        </w:tc>
      </w:tr>
      <w:tr>
        <w:trPr>
          <w:trHeight w:val="480" w:hRule="atLeast"/>
        </w:trPr>
        <w:tc>
          <w:tcPr>
            <w:tcW w:w="1056" w:type="dxa"/>
            <w:tcBorders>
              <w:bottom w:val="nil"/>
            </w:tcBorders>
          </w:tcPr>
          <w:p>
            <w:pPr>
              <w:pStyle w:val="TableParagraph"/>
              <w:rPr>
                <w:rFonts w:ascii="Times New Roman"/>
                <w:sz w:val="20"/>
              </w:rPr>
            </w:pPr>
          </w:p>
        </w:tc>
        <w:tc>
          <w:tcPr>
            <w:tcW w:w="994" w:type="dxa"/>
            <w:tcBorders>
              <w:bottom w:val="nil"/>
            </w:tcBorders>
          </w:tcPr>
          <w:p>
            <w:pPr>
              <w:pStyle w:val="TableParagraph"/>
              <w:rPr>
                <w:rFonts w:ascii="Times New Roman"/>
                <w:sz w:val="20"/>
              </w:rPr>
            </w:pPr>
          </w:p>
        </w:tc>
        <w:tc>
          <w:tcPr>
            <w:tcW w:w="2436" w:type="dxa"/>
            <w:tcBorders>
              <w:bottom w:val="nil"/>
            </w:tcBorders>
          </w:tcPr>
          <w:p>
            <w:pPr>
              <w:pStyle w:val="TableParagraph"/>
              <w:rPr>
                <w:rFonts w:ascii="Times New Roman"/>
                <w:sz w:val="20"/>
              </w:rPr>
            </w:pPr>
          </w:p>
        </w:tc>
        <w:tc>
          <w:tcPr>
            <w:tcW w:w="4779" w:type="dxa"/>
            <w:tcBorders>
              <w:top w:val="single" w:sz="2" w:space="0" w:color="000000"/>
              <w:bottom w:val="nil"/>
              <w:right w:val="single" w:sz="2" w:space="0" w:color="000000"/>
            </w:tcBorders>
          </w:tcPr>
          <w:p>
            <w:pPr>
              <w:pStyle w:val="TableParagraph"/>
              <w:spacing w:before="4"/>
              <w:rPr>
                <w:b/>
                <w:sz w:val="16"/>
              </w:rPr>
            </w:pPr>
          </w:p>
          <w:p>
            <w:pPr>
              <w:pStyle w:val="TableParagraph"/>
              <w:spacing w:line="250" w:lineRule="exact"/>
              <w:ind w:left="3"/>
              <w:rPr>
                <w:sz w:val="21"/>
              </w:rPr>
            </w:pPr>
            <w:r>
              <w:rPr>
                <w:sz w:val="21"/>
              </w:rPr>
              <w:t>依据投标人提供的管理制度进行打分：</w:t>
            </w:r>
          </w:p>
        </w:tc>
      </w:tr>
      <w:tr>
        <w:trPr>
          <w:trHeight w:val="266" w:hRule="atLeast"/>
        </w:trPr>
        <w:tc>
          <w:tcPr>
            <w:tcW w:w="1056" w:type="dxa"/>
            <w:tcBorders>
              <w:top w:val="nil"/>
              <w:bottom w:val="nil"/>
            </w:tcBorders>
          </w:tcPr>
          <w:p>
            <w:pPr>
              <w:pStyle w:val="TableParagraph"/>
              <w:rPr>
                <w:rFonts w:ascii="Times New Roman"/>
                <w:sz w:val="18"/>
              </w:rPr>
            </w:pPr>
          </w:p>
        </w:tc>
        <w:tc>
          <w:tcPr>
            <w:tcW w:w="994" w:type="dxa"/>
            <w:tcBorders>
              <w:top w:val="nil"/>
              <w:bottom w:val="nil"/>
            </w:tcBorders>
          </w:tcPr>
          <w:p>
            <w:pPr>
              <w:pStyle w:val="TableParagraph"/>
              <w:rPr>
                <w:rFonts w:ascii="Times New Roman"/>
                <w:sz w:val="18"/>
              </w:rPr>
            </w:pPr>
          </w:p>
        </w:tc>
        <w:tc>
          <w:tcPr>
            <w:tcW w:w="2436" w:type="dxa"/>
            <w:tcBorders>
              <w:top w:val="nil"/>
              <w:bottom w:val="nil"/>
            </w:tcBorders>
          </w:tcPr>
          <w:p>
            <w:pPr>
              <w:pStyle w:val="TableParagraph"/>
              <w:rPr>
                <w:rFonts w:ascii="Times New Roman"/>
                <w:sz w:val="18"/>
              </w:rPr>
            </w:pPr>
          </w:p>
        </w:tc>
        <w:tc>
          <w:tcPr>
            <w:tcW w:w="4779" w:type="dxa"/>
            <w:tcBorders>
              <w:top w:val="nil"/>
              <w:bottom w:val="nil"/>
              <w:right w:val="single" w:sz="2" w:space="0" w:color="000000"/>
            </w:tcBorders>
          </w:tcPr>
          <w:p>
            <w:pPr>
              <w:pStyle w:val="TableParagraph"/>
              <w:spacing w:line="246" w:lineRule="exact"/>
              <w:ind w:left="3"/>
              <w:rPr>
                <w:sz w:val="21"/>
              </w:rPr>
            </w:pPr>
            <w:r>
              <w:rPr>
                <w:sz w:val="21"/>
              </w:rPr>
              <w:t>管理制度完整、详尽、标准高、科学合理，与本项</w:t>
            </w:r>
          </w:p>
        </w:tc>
      </w:tr>
      <w:tr>
        <w:trPr>
          <w:trHeight w:val="557" w:hRule="atLeast"/>
        </w:trPr>
        <w:tc>
          <w:tcPr>
            <w:tcW w:w="1056" w:type="dxa"/>
            <w:tcBorders>
              <w:top w:val="nil"/>
              <w:bottom w:val="nil"/>
            </w:tcBorders>
          </w:tcPr>
          <w:p>
            <w:pPr>
              <w:pStyle w:val="TableParagraph"/>
              <w:rPr>
                <w:rFonts w:ascii="Times New Roman"/>
                <w:sz w:val="20"/>
              </w:rPr>
            </w:pPr>
          </w:p>
        </w:tc>
        <w:tc>
          <w:tcPr>
            <w:tcW w:w="994" w:type="dxa"/>
            <w:tcBorders>
              <w:top w:val="nil"/>
              <w:bottom w:val="nil"/>
            </w:tcBorders>
          </w:tcPr>
          <w:p>
            <w:pPr>
              <w:pStyle w:val="TableParagraph"/>
              <w:rPr>
                <w:rFonts w:ascii="Times New Roman"/>
                <w:sz w:val="20"/>
              </w:rPr>
            </w:pPr>
          </w:p>
        </w:tc>
        <w:tc>
          <w:tcPr>
            <w:tcW w:w="2436" w:type="dxa"/>
            <w:tcBorders>
              <w:top w:val="nil"/>
              <w:bottom w:val="nil"/>
            </w:tcBorders>
          </w:tcPr>
          <w:p>
            <w:pPr>
              <w:pStyle w:val="TableParagraph"/>
              <w:spacing w:before="142"/>
              <w:ind w:left="430"/>
              <w:rPr>
                <w:sz w:val="21"/>
              </w:rPr>
            </w:pPr>
            <w:r>
              <w:rPr>
                <w:sz w:val="21"/>
              </w:rPr>
              <w:t>管理制度（8分）</w:t>
            </w:r>
          </w:p>
        </w:tc>
        <w:tc>
          <w:tcPr>
            <w:tcW w:w="4779" w:type="dxa"/>
            <w:tcBorders>
              <w:top w:val="nil"/>
              <w:bottom w:val="nil"/>
              <w:right w:val="single" w:sz="2" w:space="0" w:color="000000"/>
            </w:tcBorders>
          </w:tcPr>
          <w:p>
            <w:pPr>
              <w:pStyle w:val="TableParagraph"/>
              <w:spacing w:line="270" w:lineRule="atLeast" w:before="4"/>
              <w:ind w:left="3" w:right="121"/>
              <w:rPr>
                <w:sz w:val="21"/>
              </w:rPr>
            </w:pPr>
            <w:r>
              <w:rPr>
                <w:w w:val="95"/>
                <w:sz w:val="21"/>
              </w:rPr>
              <w:t>目的实际情况切合度高、可行性强的得</w:t>
            </w:r>
            <w:r>
              <w:rPr>
                <w:rFonts w:ascii="Arial" w:eastAsia="Arial"/>
                <w:w w:val="95"/>
                <w:sz w:val="21"/>
              </w:rPr>
              <w:t>5.1-8.0</w:t>
            </w:r>
            <w:r>
              <w:rPr>
                <w:w w:val="95"/>
                <w:sz w:val="21"/>
              </w:rPr>
              <w:t>分； 管理制度合理、可行，满足项目要求的得</w:t>
            </w:r>
            <w:r>
              <w:rPr>
                <w:rFonts w:ascii="Arial" w:eastAsia="Arial"/>
                <w:w w:val="95"/>
                <w:sz w:val="21"/>
              </w:rPr>
              <w:t>0.1-5.0</w:t>
            </w:r>
            <w:r>
              <w:rPr>
                <w:w w:val="95"/>
                <w:sz w:val="21"/>
              </w:rPr>
              <w:t>分</w:t>
            </w:r>
          </w:p>
        </w:tc>
      </w:tr>
      <w:tr>
        <w:trPr>
          <w:trHeight w:val="746" w:hRule="atLeast"/>
        </w:trPr>
        <w:tc>
          <w:tcPr>
            <w:tcW w:w="1056" w:type="dxa"/>
            <w:tcBorders>
              <w:top w:val="nil"/>
              <w:bottom w:val="nil"/>
            </w:tcBorders>
          </w:tcPr>
          <w:p>
            <w:pPr>
              <w:pStyle w:val="TableParagraph"/>
              <w:spacing w:before="85"/>
              <w:ind w:left="272"/>
              <w:rPr>
                <w:sz w:val="20"/>
              </w:rPr>
            </w:pPr>
            <w:r>
              <w:rPr>
                <w:sz w:val="20"/>
              </w:rPr>
              <w:t>2.2.4</w:t>
            </w:r>
          </w:p>
          <w:p>
            <w:pPr>
              <w:pStyle w:val="TableParagraph"/>
              <w:spacing w:before="3"/>
              <w:ind w:left="275"/>
              <w:rPr>
                <w:sz w:val="20"/>
              </w:rPr>
            </w:pPr>
            <w:r>
              <w:rPr>
                <w:sz w:val="20"/>
              </w:rPr>
              <w:t>（3）</w:t>
            </w:r>
          </w:p>
        </w:tc>
        <w:tc>
          <w:tcPr>
            <w:tcW w:w="994" w:type="dxa"/>
            <w:tcBorders>
              <w:top w:val="nil"/>
              <w:bottom w:val="nil"/>
            </w:tcBorders>
          </w:tcPr>
          <w:p>
            <w:pPr>
              <w:pStyle w:val="TableParagraph"/>
              <w:spacing w:before="1"/>
              <w:rPr>
                <w:b/>
                <w:sz w:val="16"/>
              </w:rPr>
            </w:pPr>
          </w:p>
          <w:p>
            <w:pPr>
              <w:pStyle w:val="TableParagraph"/>
              <w:spacing w:before="1"/>
              <w:ind w:left="75"/>
              <w:rPr>
                <w:sz w:val="21"/>
              </w:rPr>
            </w:pPr>
            <w:r>
              <w:rPr>
                <w:sz w:val="21"/>
              </w:rPr>
              <w:t>其他因素</w:t>
            </w:r>
          </w:p>
        </w:tc>
        <w:tc>
          <w:tcPr>
            <w:tcW w:w="2436" w:type="dxa"/>
            <w:tcBorders>
              <w:top w:val="nil"/>
            </w:tcBorders>
          </w:tcPr>
          <w:p>
            <w:pPr>
              <w:pStyle w:val="TableParagraph"/>
              <w:rPr>
                <w:rFonts w:ascii="Times New Roman"/>
                <w:sz w:val="20"/>
              </w:rPr>
            </w:pPr>
          </w:p>
        </w:tc>
        <w:tc>
          <w:tcPr>
            <w:tcW w:w="4779" w:type="dxa"/>
            <w:tcBorders>
              <w:top w:val="nil"/>
              <w:bottom w:val="single" w:sz="2" w:space="0" w:color="000000"/>
              <w:right w:val="single" w:sz="2" w:space="0" w:color="000000"/>
            </w:tcBorders>
          </w:tcPr>
          <w:p>
            <w:pPr>
              <w:pStyle w:val="TableParagraph"/>
              <w:spacing w:line="262" w:lineRule="exact"/>
              <w:ind w:left="3"/>
              <w:rPr>
                <w:sz w:val="21"/>
              </w:rPr>
            </w:pPr>
            <w:r>
              <w:rPr>
                <w:w w:val="99"/>
                <w:sz w:val="21"/>
              </w:rPr>
              <w:t>；</w:t>
            </w:r>
          </w:p>
          <w:p>
            <w:pPr>
              <w:pStyle w:val="TableParagraph"/>
              <w:spacing w:before="4"/>
              <w:ind w:left="3"/>
              <w:rPr>
                <w:sz w:val="21"/>
              </w:rPr>
            </w:pPr>
            <w:r>
              <w:rPr>
                <w:sz w:val="21"/>
              </w:rPr>
              <w:t>其他情况不得分。</w:t>
            </w:r>
          </w:p>
        </w:tc>
      </w:tr>
      <w:tr>
        <w:trPr>
          <w:trHeight w:val="273" w:hRule="atLeast"/>
        </w:trPr>
        <w:tc>
          <w:tcPr>
            <w:tcW w:w="1056" w:type="dxa"/>
            <w:tcBorders>
              <w:top w:val="nil"/>
              <w:bottom w:val="nil"/>
            </w:tcBorders>
          </w:tcPr>
          <w:p>
            <w:pPr>
              <w:pStyle w:val="TableParagraph"/>
              <w:rPr>
                <w:rFonts w:ascii="Times New Roman"/>
                <w:sz w:val="20"/>
              </w:rPr>
            </w:pPr>
          </w:p>
        </w:tc>
        <w:tc>
          <w:tcPr>
            <w:tcW w:w="994" w:type="dxa"/>
            <w:tcBorders>
              <w:top w:val="nil"/>
              <w:bottom w:val="nil"/>
            </w:tcBorders>
          </w:tcPr>
          <w:p>
            <w:pPr>
              <w:pStyle w:val="TableParagraph"/>
              <w:rPr>
                <w:rFonts w:ascii="Times New Roman"/>
                <w:sz w:val="20"/>
              </w:rPr>
            </w:pPr>
          </w:p>
        </w:tc>
        <w:tc>
          <w:tcPr>
            <w:tcW w:w="2436" w:type="dxa"/>
            <w:tcBorders>
              <w:bottom w:val="nil"/>
              <w:right w:val="single" w:sz="2" w:space="0" w:color="000000"/>
            </w:tcBorders>
          </w:tcPr>
          <w:p>
            <w:pPr>
              <w:pStyle w:val="TableParagraph"/>
              <w:rPr>
                <w:rFonts w:ascii="Times New Roman"/>
                <w:sz w:val="20"/>
              </w:rPr>
            </w:pPr>
          </w:p>
        </w:tc>
        <w:tc>
          <w:tcPr>
            <w:tcW w:w="4779" w:type="dxa"/>
            <w:tcBorders>
              <w:top w:val="single" w:sz="2" w:space="0" w:color="000000"/>
              <w:left w:val="single" w:sz="2" w:space="0" w:color="000000"/>
              <w:bottom w:val="nil"/>
              <w:right w:val="single" w:sz="2" w:space="0" w:color="000000"/>
            </w:tcBorders>
          </w:tcPr>
          <w:p>
            <w:pPr>
              <w:pStyle w:val="TableParagraph"/>
              <w:spacing w:line="252" w:lineRule="exact" w:before="2"/>
              <w:ind w:left="3"/>
              <w:rPr>
                <w:sz w:val="21"/>
              </w:rPr>
            </w:pPr>
            <w:r>
              <w:rPr>
                <w:b/>
                <w:sz w:val="21"/>
              </w:rPr>
              <w:t>不满足招标文件人员要求的为无效投标</w:t>
            </w:r>
            <w:r>
              <w:rPr>
                <w:sz w:val="21"/>
              </w:rPr>
              <w:t>；在此基础</w:t>
            </w:r>
          </w:p>
        </w:tc>
      </w:tr>
      <w:tr>
        <w:trPr>
          <w:trHeight w:val="959" w:hRule="atLeast"/>
        </w:trPr>
        <w:tc>
          <w:tcPr>
            <w:tcW w:w="1056" w:type="dxa"/>
            <w:tcBorders>
              <w:top w:val="nil"/>
              <w:bottom w:val="single" w:sz="2" w:space="0" w:color="000000"/>
            </w:tcBorders>
          </w:tcPr>
          <w:p>
            <w:pPr>
              <w:pStyle w:val="TableParagraph"/>
              <w:rPr>
                <w:rFonts w:ascii="Times New Roman"/>
                <w:sz w:val="20"/>
              </w:rPr>
            </w:pPr>
          </w:p>
        </w:tc>
        <w:tc>
          <w:tcPr>
            <w:tcW w:w="994" w:type="dxa"/>
            <w:tcBorders>
              <w:top w:val="nil"/>
              <w:bottom w:val="single" w:sz="2" w:space="0" w:color="000000"/>
            </w:tcBorders>
          </w:tcPr>
          <w:p>
            <w:pPr>
              <w:pStyle w:val="TableParagraph"/>
              <w:rPr>
                <w:rFonts w:ascii="Times New Roman"/>
                <w:sz w:val="20"/>
              </w:rPr>
            </w:pPr>
          </w:p>
        </w:tc>
        <w:tc>
          <w:tcPr>
            <w:tcW w:w="2436" w:type="dxa"/>
            <w:tcBorders>
              <w:top w:val="nil"/>
              <w:bottom w:val="single" w:sz="2" w:space="0" w:color="000000"/>
              <w:right w:val="single" w:sz="2" w:space="0" w:color="000000"/>
            </w:tcBorders>
          </w:tcPr>
          <w:p>
            <w:pPr>
              <w:pStyle w:val="TableParagraph"/>
              <w:spacing w:before="71"/>
              <w:ind w:left="356" w:right="351"/>
              <w:jc w:val="center"/>
              <w:rPr>
                <w:sz w:val="21"/>
              </w:rPr>
            </w:pPr>
            <w:r>
              <w:rPr>
                <w:sz w:val="21"/>
              </w:rPr>
              <w:t>运维人员配置状况</w:t>
            </w:r>
          </w:p>
          <w:p>
            <w:pPr>
              <w:pStyle w:val="TableParagraph"/>
              <w:spacing w:before="2"/>
              <w:ind w:left="356" w:right="349"/>
              <w:jc w:val="center"/>
              <w:rPr>
                <w:sz w:val="21"/>
              </w:rPr>
            </w:pPr>
            <w:r>
              <w:rPr>
                <w:sz w:val="21"/>
              </w:rPr>
              <w:t>（2分）</w:t>
            </w:r>
          </w:p>
        </w:tc>
        <w:tc>
          <w:tcPr>
            <w:tcW w:w="4779" w:type="dxa"/>
            <w:tcBorders>
              <w:top w:val="nil"/>
              <w:left w:val="single" w:sz="2" w:space="0" w:color="000000"/>
              <w:bottom w:val="single" w:sz="2" w:space="0" w:color="000000"/>
              <w:right w:val="single" w:sz="2" w:space="0" w:color="000000"/>
            </w:tcBorders>
          </w:tcPr>
          <w:p>
            <w:pPr>
              <w:pStyle w:val="TableParagraph"/>
              <w:spacing w:line="242" w:lineRule="auto" w:before="2"/>
              <w:ind w:left="3" w:right="149"/>
              <w:jc w:val="both"/>
              <w:rPr>
                <w:sz w:val="21"/>
              </w:rPr>
            </w:pPr>
            <w:r>
              <w:rPr>
                <w:w w:val="95"/>
                <w:sz w:val="21"/>
              </w:rPr>
              <w:t>上，每增加一名持有安全员证书、特种工证书、有 关专业的职称证书的运维人员即可得0.5分，加至2 </w:t>
            </w:r>
            <w:r>
              <w:rPr>
                <w:sz w:val="21"/>
              </w:rPr>
              <w:t>分为止。每人一证不可兼得。</w:t>
            </w:r>
          </w:p>
        </w:tc>
      </w:tr>
      <w:tr>
        <w:trPr>
          <w:trHeight w:val="271" w:hRule="atLeast"/>
        </w:trPr>
        <w:tc>
          <w:tcPr>
            <w:tcW w:w="1056" w:type="dxa"/>
            <w:tcBorders>
              <w:top w:val="single" w:sz="2" w:space="0" w:color="000000"/>
              <w:left w:val="single" w:sz="2" w:space="0" w:color="000000"/>
              <w:bottom w:val="nil"/>
              <w:right w:val="single" w:sz="2" w:space="0" w:color="000000"/>
            </w:tcBorders>
          </w:tcPr>
          <w:p>
            <w:pPr>
              <w:pStyle w:val="TableParagraph"/>
              <w:rPr>
                <w:rFonts w:ascii="Times New Roman"/>
                <w:sz w:val="20"/>
              </w:rPr>
            </w:pPr>
          </w:p>
        </w:tc>
        <w:tc>
          <w:tcPr>
            <w:tcW w:w="994" w:type="dxa"/>
            <w:tcBorders>
              <w:top w:val="single" w:sz="2" w:space="0" w:color="000000"/>
              <w:left w:val="single" w:sz="2" w:space="0" w:color="000000"/>
              <w:bottom w:val="nil"/>
              <w:right w:val="single" w:sz="2" w:space="0" w:color="000000"/>
            </w:tcBorders>
          </w:tcPr>
          <w:p>
            <w:pPr>
              <w:pStyle w:val="TableParagraph"/>
              <w:rPr>
                <w:rFonts w:ascii="Times New Roman"/>
                <w:sz w:val="20"/>
              </w:rPr>
            </w:pPr>
          </w:p>
        </w:tc>
        <w:tc>
          <w:tcPr>
            <w:tcW w:w="7215" w:type="dxa"/>
            <w:gridSpan w:val="2"/>
            <w:tcBorders>
              <w:top w:val="single" w:sz="2" w:space="0" w:color="000000"/>
              <w:left w:val="single" w:sz="2" w:space="0" w:color="000000"/>
              <w:bottom w:val="nil"/>
              <w:right w:val="single" w:sz="2" w:space="0" w:color="000000"/>
            </w:tcBorders>
          </w:tcPr>
          <w:p>
            <w:pPr>
              <w:pStyle w:val="TableParagraph"/>
              <w:spacing w:line="251" w:lineRule="exact"/>
              <w:ind w:left="3"/>
              <w:rPr>
                <w:sz w:val="21"/>
              </w:rPr>
            </w:pPr>
            <w:r>
              <w:rPr>
                <w:sz w:val="21"/>
              </w:rPr>
              <w:t>各投标报价与评标基准值相比，投标报价每高出评标基准值—个百分点 扣0.2</w:t>
            </w:r>
          </w:p>
        </w:tc>
      </w:tr>
      <w:tr>
        <w:trPr>
          <w:trHeight w:val="272" w:hRule="atLeast"/>
        </w:trPr>
        <w:tc>
          <w:tcPr>
            <w:tcW w:w="1056" w:type="dxa"/>
            <w:tcBorders>
              <w:top w:val="nil"/>
              <w:left w:val="single" w:sz="2" w:space="0" w:color="000000"/>
              <w:bottom w:val="nil"/>
              <w:right w:val="single" w:sz="2" w:space="0" w:color="000000"/>
            </w:tcBorders>
          </w:tcPr>
          <w:p>
            <w:pPr>
              <w:pStyle w:val="TableParagraph"/>
              <w:rPr>
                <w:rFonts w:ascii="Times New Roman"/>
                <w:sz w:val="20"/>
              </w:rPr>
            </w:pPr>
          </w:p>
        </w:tc>
        <w:tc>
          <w:tcPr>
            <w:tcW w:w="994" w:type="dxa"/>
            <w:tcBorders>
              <w:top w:val="nil"/>
              <w:left w:val="single" w:sz="2" w:space="0" w:color="000000"/>
              <w:bottom w:val="nil"/>
              <w:right w:val="single" w:sz="2" w:space="0" w:color="000000"/>
            </w:tcBorders>
          </w:tcPr>
          <w:p>
            <w:pPr>
              <w:pStyle w:val="TableParagraph"/>
              <w:rPr>
                <w:rFonts w:ascii="Times New Roman"/>
                <w:sz w:val="20"/>
              </w:rPr>
            </w:pPr>
          </w:p>
        </w:tc>
        <w:tc>
          <w:tcPr>
            <w:tcW w:w="7215" w:type="dxa"/>
            <w:gridSpan w:val="2"/>
            <w:tcBorders>
              <w:top w:val="nil"/>
              <w:left w:val="single" w:sz="2" w:space="0" w:color="000000"/>
              <w:bottom w:val="nil"/>
              <w:right w:val="single" w:sz="2" w:space="0" w:color="000000"/>
            </w:tcBorders>
          </w:tcPr>
          <w:p>
            <w:pPr>
              <w:pStyle w:val="TableParagraph"/>
              <w:spacing w:line="250" w:lineRule="exact" w:before="2"/>
              <w:ind w:left="3"/>
              <w:rPr>
                <w:sz w:val="21"/>
              </w:rPr>
            </w:pPr>
            <w:r>
              <w:rPr>
                <w:sz w:val="21"/>
              </w:rPr>
              <w:t>分，投标报价每低于一个百分点扣0.2分，不足一个百分点按插入法计 算，扣</w:t>
            </w:r>
          </w:p>
        </w:tc>
      </w:tr>
      <w:tr>
        <w:trPr>
          <w:trHeight w:val="272" w:hRule="atLeast"/>
        </w:trPr>
        <w:tc>
          <w:tcPr>
            <w:tcW w:w="1056" w:type="dxa"/>
            <w:tcBorders>
              <w:top w:val="nil"/>
              <w:left w:val="single" w:sz="2" w:space="0" w:color="000000"/>
              <w:bottom w:val="nil"/>
              <w:right w:val="single" w:sz="2" w:space="0" w:color="000000"/>
            </w:tcBorders>
          </w:tcPr>
          <w:p>
            <w:pPr>
              <w:pStyle w:val="TableParagraph"/>
              <w:rPr>
                <w:rFonts w:ascii="Times New Roman"/>
                <w:sz w:val="20"/>
              </w:rPr>
            </w:pPr>
          </w:p>
        </w:tc>
        <w:tc>
          <w:tcPr>
            <w:tcW w:w="994" w:type="dxa"/>
            <w:tcBorders>
              <w:top w:val="nil"/>
              <w:left w:val="single" w:sz="2" w:space="0" w:color="000000"/>
              <w:bottom w:val="nil"/>
              <w:right w:val="single" w:sz="2" w:space="0" w:color="000000"/>
            </w:tcBorders>
          </w:tcPr>
          <w:p>
            <w:pPr>
              <w:pStyle w:val="TableParagraph"/>
              <w:rPr>
                <w:rFonts w:ascii="Times New Roman"/>
                <w:sz w:val="20"/>
              </w:rPr>
            </w:pPr>
          </w:p>
        </w:tc>
        <w:tc>
          <w:tcPr>
            <w:tcW w:w="7215" w:type="dxa"/>
            <w:gridSpan w:val="2"/>
            <w:tcBorders>
              <w:top w:val="nil"/>
              <w:left w:val="single" w:sz="2" w:space="0" w:color="000000"/>
              <w:bottom w:val="nil"/>
              <w:right w:val="single" w:sz="2" w:space="0" w:color="000000"/>
            </w:tcBorders>
          </w:tcPr>
          <w:p>
            <w:pPr>
              <w:pStyle w:val="TableParagraph"/>
              <w:spacing w:line="252" w:lineRule="exact"/>
              <w:ind w:left="3"/>
              <w:rPr>
                <w:sz w:val="21"/>
              </w:rPr>
            </w:pPr>
            <w:r>
              <w:rPr>
                <w:sz w:val="21"/>
              </w:rPr>
              <w:t>完为止。</w:t>
            </w:r>
          </w:p>
        </w:tc>
      </w:tr>
      <w:tr>
        <w:trPr>
          <w:trHeight w:val="272" w:hRule="atLeast"/>
        </w:trPr>
        <w:tc>
          <w:tcPr>
            <w:tcW w:w="1056" w:type="dxa"/>
            <w:tcBorders>
              <w:top w:val="nil"/>
              <w:left w:val="single" w:sz="2" w:space="0" w:color="000000"/>
              <w:bottom w:val="nil"/>
              <w:right w:val="single" w:sz="2" w:space="0" w:color="000000"/>
            </w:tcBorders>
          </w:tcPr>
          <w:p>
            <w:pPr>
              <w:pStyle w:val="TableParagraph"/>
              <w:rPr>
                <w:rFonts w:ascii="Times New Roman"/>
                <w:sz w:val="20"/>
              </w:rPr>
            </w:pPr>
          </w:p>
        </w:tc>
        <w:tc>
          <w:tcPr>
            <w:tcW w:w="994" w:type="dxa"/>
            <w:tcBorders>
              <w:top w:val="nil"/>
              <w:left w:val="single" w:sz="2" w:space="0" w:color="000000"/>
              <w:bottom w:val="nil"/>
              <w:right w:val="single" w:sz="2" w:space="0" w:color="000000"/>
            </w:tcBorders>
          </w:tcPr>
          <w:p>
            <w:pPr>
              <w:pStyle w:val="TableParagraph"/>
              <w:rPr>
                <w:rFonts w:ascii="Times New Roman"/>
                <w:sz w:val="20"/>
              </w:rPr>
            </w:pPr>
          </w:p>
        </w:tc>
        <w:tc>
          <w:tcPr>
            <w:tcW w:w="7215" w:type="dxa"/>
            <w:gridSpan w:val="2"/>
            <w:tcBorders>
              <w:top w:val="nil"/>
              <w:left w:val="single" w:sz="2" w:space="0" w:color="000000"/>
              <w:bottom w:val="nil"/>
              <w:right w:val="single" w:sz="2" w:space="0" w:color="000000"/>
            </w:tcBorders>
          </w:tcPr>
          <w:p>
            <w:pPr>
              <w:pStyle w:val="TableParagraph"/>
              <w:spacing w:line="250" w:lineRule="exact" w:before="2"/>
              <w:ind w:left="3"/>
              <w:rPr>
                <w:sz w:val="21"/>
              </w:rPr>
            </w:pPr>
            <w:r>
              <w:rPr>
                <w:sz w:val="21"/>
              </w:rPr>
              <w:t>即：投标人的报价等于评标基准价的为满分（30分）。其他投标人的价 格分</w:t>
            </w:r>
          </w:p>
        </w:tc>
      </w:tr>
      <w:tr>
        <w:trPr>
          <w:trHeight w:val="271" w:hRule="atLeast"/>
        </w:trPr>
        <w:tc>
          <w:tcPr>
            <w:tcW w:w="1056" w:type="dxa"/>
            <w:tcBorders>
              <w:top w:val="nil"/>
              <w:left w:val="single" w:sz="2" w:space="0" w:color="000000"/>
              <w:bottom w:val="nil"/>
              <w:right w:val="single" w:sz="2" w:space="0" w:color="000000"/>
            </w:tcBorders>
          </w:tcPr>
          <w:p>
            <w:pPr>
              <w:pStyle w:val="TableParagraph"/>
              <w:rPr>
                <w:rFonts w:ascii="Times New Roman"/>
                <w:sz w:val="20"/>
              </w:rPr>
            </w:pPr>
          </w:p>
        </w:tc>
        <w:tc>
          <w:tcPr>
            <w:tcW w:w="994" w:type="dxa"/>
            <w:tcBorders>
              <w:top w:val="nil"/>
              <w:left w:val="single" w:sz="2" w:space="0" w:color="000000"/>
              <w:bottom w:val="nil"/>
              <w:right w:val="single" w:sz="2" w:space="0" w:color="000000"/>
            </w:tcBorders>
          </w:tcPr>
          <w:p>
            <w:pPr>
              <w:pStyle w:val="TableParagraph"/>
              <w:spacing w:line="250" w:lineRule="exact"/>
              <w:ind w:left="4"/>
              <w:rPr>
                <w:sz w:val="21"/>
              </w:rPr>
            </w:pPr>
            <w:r>
              <w:rPr>
                <w:sz w:val="21"/>
              </w:rPr>
              <w:t>投标报价</w:t>
            </w:r>
          </w:p>
        </w:tc>
        <w:tc>
          <w:tcPr>
            <w:tcW w:w="7215" w:type="dxa"/>
            <w:gridSpan w:val="2"/>
            <w:tcBorders>
              <w:top w:val="nil"/>
              <w:left w:val="single" w:sz="2" w:space="0" w:color="000000"/>
              <w:bottom w:val="nil"/>
              <w:right w:val="single" w:sz="2" w:space="0" w:color="000000"/>
            </w:tcBorders>
          </w:tcPr>
          <w:p>
            <w:pPr>
              <w:pStyle w:val="TableParagraph"/>
              <w:spacing w:line="250" w:lineRule="exact"/>
              <w:ind w:left="3"/>
              <w:rPr>
                <w:sz w:val="21"/>
              </w:rPr>
            </w:pPr>
            <w:r>
              <w:rPr>
                <w:sz w:val="21"/>
              </w:rPr>
              <w:t>按以下公式计算：</w:t>
            </w:r>
          </w:p>
        </w:tc>
      </w:tr>
      <w:tr>
        <w:trPr>
          <w:trHeight w:val="272" w:hRule="atLeast"/>
        </w:trPr>
        <w:tc>
          <w:tcPr>
            <w:tcW w:w="1056" w:type="dxa"/>
            <w:tcBorders>
              <w:top w:val="nil"/>
              <w:left w:val="single" w:sz="2" w:space="0" w:color="000000"/>
              <w:bottom w:val="nil"/>
              <w:right w:val="single" w:sz="2" w:space="0" w:color="000000"/>
            </w:tcBorders>
          </w:tcPr>
          <w:p>
            <w:pPr>
              <w:pStyle w:val="TableParagraph"/>
              <w:spacing w:line="252" w:lineRule="exact"/>
              <w:ind w:left="4"/>
              <w:rPr>
                <w:sz w:val="21"/>
              </w:rPr>
            </w:pPr>
            <w:r>
              <w:rPr>
                <w:sz w:val="21"/>
              </w:rPr>
              <w:t>2.2.4 （3</w:t>
            </w:r>
          </w:p>
        </w:tc>
        <w:tc>
          <w:tcPr>
            <w:tcW w:w="994" w:type="dxa"/>
            <w:tcBorders>
              <w:top w:val="nil"/>
              <w:left w:val="single" w:sz="2" w:space="0" w:color="000000"/>
              <w:bottom w:val="nil"/>
              <w:right w:val="single" w:sz="2" w:space="0" w:color="000000"/>
            </w:tcBorders>
          </w:tcPr>
          <w:p>
            <w:pPr>
              <w:pStyle w:val="TableParagraph"/>
              <w:spacing w:line="252" w:lineRule="exact"/>
              <w:ind w:left="4"/>
              <w:rPr>
                <w:sz w:val="21"/>
              </w:rPr>
            </w:pPr>
            <w:r>
              <w:rPr>
                <w:sz w:val="21"/>
              </w:rPr>
              <w:t>评分标准</w:t>
            </w:r>
          </w:p>
        </w:tc>
        <w:tc>
          <w:tcPr>
            <w:tcW w:w="7215" w:type="dxa"/>
            <w:gridSpan w:val="2"/>
            <w:tcBorders>
              <w:top w:val="nil"/>
              <w:left w:val="single" w:sz="2" w:space="0" w:color="000000"/>
              <w:bottom w:val="nil"/>
              <w:right w:val="single" w:sz="2" w:space="0" w:color="000000"/>
            </w:tcBorders>
          </w:tcPr>
          <w:p>
            <w:pPr>
              <w:pStyle w:val="TableParagraph"/>
              <w:spacing w:line="252" w:lineRule="exact"/>
              <w:ind w:left="3"/>
              <w:rPr>
                <w:sz w:val="21"/>
              </w:rPr>
            </w:pPr>
            <w:r>
              <w:rPr>
                <w:sz w:val="21"/>
              </w:rPr>
              <w:t>a报价高于基准价一个百分点，减0.2分</w:t>
            </w:r>
          </w:p>
        </w:tc>
      </w:tr>
      <w:tr>
        <w:trPr>
          <w:trHeight w:val="272" w:hRule="atLeast"/>
        </w:trPr>
        <w:tc>
          <w:tcPr>
            <w:tcW w:w="1056" w:type="dxa"/>
            <w:tcBorders>
              <w:top w:val="nil"/>
              <w:left w:val="single" w:sz="2" w:space="0" w:color="000000"/>
              <w:bottom w:val="nil"/>
              <w:right w:val="single" w:sz="2" w:space="0" w:color="000000"/>
            </w:tcBorders>
          </w:tcPr>
          <w:p>
            <w:pPr>
              <w:pStyle w:val="TableParagraph"/>
              <w:spacing w:line="250" w:lineRule="exact" w:before="2"/>
              <w:ind w:left="4"/>
              <w:rPr>
                <w:sz w:val="21"/>
              </w:rPr>
            </w:pPr>
            <w:r>
              <w:rPr>
                <w:w w:val="99"/>
                <w:sz w:val="21"/>
              </w:rPr>
              <w:t>）</w:t>
            </w:r>
          </w:p>
        </w:tc>
        <w:tc>
          <w:tcPr>
            <w:tcW w:w="994" w:type="dxa"/>
            <w:tcBorders>
              <w:top w:val="nil"/>
              <w:left w:val="single" w:sz="2" w:space="0" w:color="000000"/>
              <w:bottom w:val="nil"/>
              <w:right w:val="single" w:sz="2" w:space="0" w:color="000000"/>
            </w:tcBorders>
          </w:tcPr>
          <w:p>
            <w:pPr>
              <w:pStyle w:val="TableParagraph"/>
              <w:spacing w:line="250" w:lineRule="exact" w:before="2"/>
              <w:ind w:left="4"/>
              <w:rPr>
                <w:sz w:val="21"/>
              </w:rPr>
            </w:pPr>
            <w:r>
              <w:rPr>
                <w:sz w:val="21"/>
              </w:rPr>
              <w:t>（30 分）</w:t>
            </w:r>
          </w:p>
        </w:tc>
        <w:tc>
          <w:tcPr>
            <w:tcW w:w="7215" w:type="dxa"/>
            <w:gridSpan w:val="2"/>
            <w:tcBorders>
              <w:top w:val="nil"/>
              <w:left w:val="single" w:sz="2" w:space="0" w:color="000000"/>
              <w:bottom w:val="nil"/>
              <w:right w:val="single" w:sz="2" w:space="0" w:color="000000"/>
            </w:tcBorders>
          </w:tcPr>
          <w:p>
            <w:pPr>
              <w:pStyle w:val="TableParagraph"/>
              <w:spacing w:line="250" w:lineRule="exact" w:before="2"/>
              <w:ind w:left="3"/>
              <w:rPr>
                <w:sz w:val="21"/>
              </w:rPr>
            </w:pPr>
            <w:r>
              <w:rPr>
                <w:sz w:val="21"/>
              </w:rPr>
              <w:t>公式：30分 ― {【（报价―评标基准价）/评标基准价】╳0.2╳100} b报价</w:t>
            </w:r>
          </w:p>
        </w:tc>
      </w:tr>
      <w:tr>
        <w:trPr>
          <w:trHeight w:val="272" w:hRule="atLeast"/>
        </w:trPr>
        <w:tc>
          <w:tcPr>
            <w:tcW w:w="1056" w:type="dxa"/>
            <w:tcBorders>
              <w:top w:val="nil"/>
              <w:left w:val="single" w:sz="2" w:space="0" w:color="000000"/>
              <w:bottom w:val="nil"/>
              <w:right w:val="single" w:sz="2" w:space="0" w:color="000000"/>
            </w:tcBorders>
          </w:tcPr>
          <w:p>
            <w:pPr>
              <w:pStyle w:val="TableParagraph"/>
              <w:rPr>
                <w:rFonts w:ascii="Times New Roman"/>
                <w:sz w:val="20"/>
              </w:rPr>
            </w:pPr>
          </w:p>
        </w:tc>
        <w:tc>
          <w:tcPr>
            <w:tcW w:w="994" w:type="dxa"/>
            <w:tcBorders>
              <w:top w:val="nil"/>
              <w:left w:val="single" w:sz="2" w:space="0" w:color="000000"/>
              <w:bottom w:val="nil"/>
              <w:right w:val="single" w:sz="2" w:space="0" w:color="000000"/>
            </w:tcBorders>
          </w:tcPr>
          <w:p>
            <w:pPr>
              <w:pStyle w:val="TableParagraph"/>
              <w:rPr>
                <w:rFonts w:ascii="Times New Roman"/>
                <w:sz w:val="20"/>
              </w:rPr>
            </w:pPr>
          </w:p>
        </w:tc>
        <w:tc>
          <w:tcPr>
            <w:tcW w:w="7215" w:type="dxa"/>
            <w:gridSpan w:val="2"/>
            <w:tcBorders>
              <w:top w:val="nil"/>
              <w:left w:val="single" w:sz="2" w:space="0" w:color="000000"/>
              <w:bottom w:val="nil"/>
              <w:right w:val="single" w:sz="2" w:space="0" w:color="000000"/>
            </w:tcBorders>
          </w:tcPr>
          <w:p>
            <w:pPr>
              <w:pStyle w:val="TableParagraph"/>
              <w:spacing w:line="252" w:lineRule="exact"/>
              <w:ind w:left="3"/>
              <w:rPr>
                <w:sz w:val="21"/>
              </w:rPr>
            </w:pPr>
            <w:r>
              <w:rPr>
                <w:sz w:val="21"/>
              </w:rPr>
              <w:t>低于基准价一个百分点，减0.2分</w:t>
            </w:r>
          </w:p>
        </w:tc>
      </w:tr>
      <w:tr>
        <w:trPr>
          <w:trHeight w:val="546" w:hRule="atLeast"/>
        </w:trPr>
        <w:tc>
          <w:tcPr>
            <w:tcW w:w="1056" w:type="dxa"/>
            <w:tcBorders>
              <w:top w:val="nil"/>
              <w:left w:val="single" w:sz="2" w:space="0" w:color="000000"/>
              <w:bottom w:val="single" w:sz="2" w:space="0" w:color="000000"/>
              <w:right w:val="single" w:sz="2" w:space="0" w:color="000000"/>
            </w:tcBorders>
          </w:tcPr>
          <w:p>
            <w:pPr>
              <w:pStyle w:val="TableParagraph"/>
              <w:rPr>
                <w:rFonts w:ascii="Times New Roman"/>
                <w:sz w:val="20"/>
              </w:rPr>
            </w:pPr>
          </w:p>
        </w:tc>
        <w:tc>
          <w:tcPr>
            <w:tcW w:w="994" w:type="dxa"/>
            <w:tcBorders>
              <w:top w:val="nil"/>
              <w:left w:val="single" w:sz="2" w:space="0" w:color="000000"/>
              <w:bottom w:val="single" w:sz="2" w:space="0" w:color="000000"/>
              <w:right w:val="single" w:sz="2" w:space="0" w:color="000000"/>
            </w:tcBorders>
          </w:tcPr>
          <w:p>
            <w:pPr>
              <w:pStyle w:val="TableParagraph"/>
              <w:rPr>
                <w:rFonts w:ascii="Times New Roman"/>
                <w:sz w:val="20"/>
              </w:rPr>
            </w:pPr>
          </w:p>
        </w:tc>
        <w:tc>
          <w:tcPr>
            <w:tcW w:w="7215" w:type="dxa"/>
            <w:gridSpan w:val="2"/>
            <w:tcBorders>
              <w:top w:val="nil"/>
              <w:left w:val="single" w:sz="2" w:space="0" w:color="000000"/>
              <w:bottom w:val="single" w:sz="2" w:space="0" w:color="000000"/>
              <w:right w:val="single" w:sz="2" w:space="0" w:color="000000"/>
            </w:tcBorders>
          </w:tcPr>
          <w:p>
            <w:pPr>
              <w:pStyle w:val="TableParagraph"/>
              <w:spacing w:before="2"/>
              <w:ind w:left="3"/>
              <w:rPr>
                <w:sz w:val="21"/>
              </w:rPr>
            </w:pPr>
            <w:r>
              <w:rPr>
                <w:sz w:val="21"/>
              </w:rPr>
              <w:t>公式：30分 ― {【（评标基准价―报价）/评标基准价】╳0.2╳100}</w:t>
            </w:r>
          </w:p>
        </w:tc>
      </w:tr>
    </w:tbl>
    <w:p>
      <w:pPr>
        <w:spacing w:after="0"/>
        <w:rPr>
          <w:sz w:val="21"/>
        </w:rPr>
        <w:sectPr>
          <w:pgSz w:w="11910" w:h="16840"/>
          <w:pgMar w:header="0" w:footer="686" w:top="1400" w:bottom="880" w:left="1300" w:right="500"/>
        </w:sectPr>
      </w:pPr>
    </w:p>
    <w:p>
      <w:pPr>
        <w:pStyle w:val="Heading3"/>
        <w:spacing w:before="27"/>
        <w:ind w:left="879"/>
        <w:rPr>
          <w:rFonts w:ascii="黑体" w:eastAsia="黑体" w:hint="eastAsia"/>
        </w:rPr>
      </w:pPr>
      <w:r>
        <w:rPr>
          <w:rFonts w:ascii="黑体" w:eastAsia="黑体" w:hint="eastAsia"/>
        </w:rPr>
        <w:t>1.评标方法</w:t>
      </w:r>
    </w:p>
    <w:p>
      <w:pPr>
        <w:pStyle w:val="BodyText"/>
        <w:spacing w:line="376" w:lineRule="auto" w:before="219"/>
        <w:ind w:left="115" w:right="916" w:firstLine="422"/>
      </w:pPr>
      <w:r>
        <w:rPr/>
        <w:t>本次评标采用综合评估法。评标委员会对满足招标文件实质性要求的投标文件，按照本章第 </w:t>
      </w:r>
      <w:r>
        <w:rPr>
          <w:rFonts w:ascii="Times New Roman" w:eastAsia="Times New Roman"/>
        </w:rPr>
        <w:t>2.2 </w:t>
      </w:r>
      <w:r>
        <w:rPr/>
        <w:t>款规定的评分标准进行打分，并按得分由高到低顺序推荐中标候选人，或根据招标人授权直接确定中标人</w:t>
      </w:r>
    </w:p>
    <w:p>
      <w:pPr>
        <w:pStyle w:val="BodyText"/>
        <w:spacing w:line="376" w:lineRule="auto"/>
        <w:ind w:left="115" w:right="916"/>
      </w:pPr>
      <w:r>
        <w:rPr/>
        <w:t>，但投标报价低于其成本的除外。综合评分相等时，以投标报价低的优先；投标报价也相等的， 以服务方案得分高的优先；如果服务方案得分也相等，按照评标办法前附表的规定确定中标候选人顺 序。</w:t>
      </w:r>
    </w:p>
    <w:p>
      <w:pPr>
        <w:pStyle w:val="Heading3"/>
        <w:spacing w:before="151"/>
        <w:ind w:left="860"/>
        <w:rPr>
          <w:rFonts w:ascii="黑体" w:eastAsia="黑体" w:hint="eastAsia"/>
        </w:rPr>
      </w:pPr>
      <w:r>
        <w:rPr>
          <w:rFonts w:ascii="黑体" w:eastAsia="黑体" w:hint="eastAsia"/>
        </w:rPr>
        <w:t>2.评审标准</w:t>
      </w:r>
    </w:p>
    <w:p>
      <w:pPr>
        <w:pStyle w:val="Heading6"/>
        <w:spacing w:before="211"/>
        <w:ind w:left="912"/>
      </w:pPr>
      <w:r>
        <w:rPr>
          <w:rFonts w:ascii="Times New Roman" w:eastAsia="Times New Roman"/>
        </w:rPr>
        <w:t>2.1 </w:t>
      </w:r>
      <w:r>
        <w:rPr/>
        <w:t>初步评审标准</w:t>
      </w:r>
    </w:p>
    <w:p>
      <w:pPr>
        <w:pStyle w:val="ListParagraph"/>
        <w:numPr>
          <w:ilvl w:val="2"/>
          <w:numId w:val="39"/>
        </w:numPr>
        <w:tabs>
          <w:tab w:pos="1060" w:val="left" w:leader="none"/>
        </w:tabs>
        <w:spacing w:line="240" w:lineRule="auto" w:before="189" w:after="0"/>
        <w:ind w:left="1059" w:right="0" w:hanging="519"/>
        <w:jc w:val="left"/>
        <w:rPr>
          <w:sz w:val="20"/>
        </w:rPr>
      </w:pPr>
      <w:r>
        <w:rPr>
          <w:spacing w:val="3"/>
          <w:w w:val="95"/>
          <w:sz w:val="20"/>
        </w:rPr>
        <w:t>形式评审标准：见评标办法前附表。</w:t>
      </w:r>
    </w:p>
    <w:p>
      <w:pPr>
        <w:pStyle w:val="BodyText"/>
        <w:rPr>
          <w:sz w:val="21"/>
        </w:rPr>
      </w:pPr>
    </w:p>
    <w:p>
      <w:pPr>
        <w:pStyle w:val="ListParagraph"/>
        <w:numPr>
          <w:ilvl w:val="2"/>
          <w:numId w:val="39"/>
        </w:numPr>
        <w:tabs>
          <w:tab w:pos="1060" w:val="left" w:leader="none"/>
        </w:tabs>
        <w:spacing w:line="240" w:lineRule="auto" w:before="0" w:after="0"/>
        <w:ind w:left="1059" w:right="0" w:hanging="519"/>
        <w:jc w:val="left"/>
        <w:rPr>
          <w:sz w:val="20"/>
        </w:rPr>
      </w:pPr>
      <w:r>
        <w:rPr>
          <w:spacing w:val="3"/>
          <w:w w:val="95"/>
          <w:sz w:val="20"/>
        </w:rPr>
        <w:t>资格评审标准：见评标办法前附表。</w:t>
      </w:r>
    </w:p>
    <w:p>
      <w:pPr>
        <w:pStyle w:val="BodyText"/>
        <w:spacing w:before="3"/>
        <w:rPr>
          <w:sz w:val="21"/>
        </w:rPr>
      </w:pPr>
    </w:p>
    <w:p>
      <w:pPr>
        <w:pStyle w:val="ListParagraph"/>
        <w:numPr>
          <w:ilvl w:val="2"/>
          <w:numId w:val="39"/>
        </w:numPr>
        <w:tabs>
          <w:tab w:pos="1064" w:val="left" w:leader="none"/>
        </w:tabs>
        <w:spacing w:line="240" w:lineRule="auto" w:before="0" w:after="0"/>
        <w:ind w:left="1064" w:right="0" w:hanging="524"/>
        <w:jc w:val="left"/>
        <w:rPr>
          <w:sz w:val="20"/>
        </w:rPr>
      </w:pPr>
      <w:r>
        <w:rPr>
          <w:spacing w:val="3"/>
          <w:sz w:val="20"/>
        </w:rPr>
        <w:t>响应性评审标准：见评标办法前附表。</w:t>
      </w:r>
    </w:p>
    <w:p>
      <w:pPr>
        <w:pStyle w:val="BodyText"/>
        <w:spacing w:before="12"/>
      </w:pPr>
    </w:p>
    <w:p>
      <w:pPr>
        <w:pStyle w:val="Heading6"/>
        <w:ind w:left="912"/>
      </w:pPr>
      <w:r>
        <w:rPr>
          <w:rFonts w:ascii="Times New Roman" w:eastAsia="Times New Roman"/>
        </w:rPr>
        <w:t>2.2 </w:t>
      </w:r>
      <w:r>
        <w:rPr/>
        <w:t>分值构成与评分标准</w:t>
      </w:r>
    </w:p>
    <w:p>
      <w:pPr>
        <w:pStyle w:val="ListParagraph"/>
        <w:numPr>
          <w:ilvl w:val="2"/>
          <w:numId w:val="40"/>
        </w:numPr>
        <w:tabs>
          <w:tab w:pos="992" w:val="left" w:leader="none"/>
        </w:tabs>
        <w:spacing w:line="240" w:lineRule="auto" w:before="187" w:after="0"/>
        <w:ind w:left="992" w:right="0" w:hanging="452"/>
        <w:jc w:val="left"/>
        <w:rPr>
          <w:sz w:val="20"/>
        </w:rPr>
      </w:pPr>
      <w:r>
        <w:rPr>
          <w:sz w:val="20"/>
        </w:rPr>
        <w:t>分值构成</w:t>
      </w:r>
    </w:p>
    <w:p>
      <w:pPr>
        <w:pStyle w:val="BodyText"/>
        <w:spacing w:before="5"/>
        <w:rPr>
          <w:sz w:val="21"/>
        </w:rPr>
      </w:pPr>
    </w:p>
    <w:p>
      <w:pPr>
        <w:pStyle w:val="BodyText"/>
        <w:ind w:left="444"/>
      </w:pPr>
      <w:r>
        <w:rPr>
          <w:w w:val="95"/>
        </w:rPr>
        <w:t>（</w:t>
      </w:r>
      <w:r>
        <w:rPr>
          <w:rFonts w:ascii="Calibri" w:eastAsia="Calibri"/>
          <w:w w:val="95"/>
        </w:rPr>
        <w:t>1</w:t>
      </w:r>
      <w:r>
        <w:rPr>
          <w:w w:val="95"/>
        </w:rPr>
        <w:t>）其他因素部分：见评标办法前附表；</w:t>
      </w:r>
    </w:p>
    <w:p>
      <w:pPr>
        <w:pStyle w:val="BodyText"/>
        <w:spacing w:before="3"/>
        <w:rPr>
          <w:sz w:val="21"/>
        </w:rPr>
      </w:pPr>
    </w:p>
    <w:p>
      <w:pPr>
        <w:pStyle w:val="BodyText"/>
        <w:ind w:left="444"/>
      </w:pPr>
      <w:r>
        <w:rPr>
          <w:w w:val="95"/>
        </w:rPr>
        <w:t>（</w:t>
      </w:r>
      <w:r>
        <w:rPr>
          <w:rFonts w:ascii="Calibri" w:eastAsia="Calibri"/>
          <w:w w:val="95"/>
        </w:rPr>
        <w:t>2</w:t>
      </w:r>
      <w:r>
        <w:rPr>
          <w:w w:val="95"/>
        </w:rPr>
        <w:t>）技术方案部分：见评标办法前附表；</w:t>
      </w:r>
    </w:p>
    <w:p>
      <w:pPr>
        <w:pStyle w:val="BodyText"/>
        <w:rPr>
          <w:sz w:val="21"/>
        </w:rPr>
      </w:pPr>
    </w:p>
    <w:p>
      <w:pPr>
        <w:pStyle w:val="BodyText"/>
        <w:ind w:left="444"/>
      </w:pPr>
      <w:r>
        <w:rPr>
          <w:w w:val="95"/>
        </w:rPr>
        <w:t>（</w:t>
      </w:r>
      <w:r>
        <w:rPr>
          <w:rFonts w:ascii="Calibri" w:eastAsia="Calibri"/>
          <w:w w:val="95"/>
        </w:rPr>
        <w:t>3</w:t>
      </w:r>
      <w:r>
        <w:rPr>
          <w:w w:val="95"/>
        </w:rPr>
        <w:t>）投标报价部分：见评标办法前附表；</w:t>
      </w:r>
    </w:p>
    <w:p>
      <w:pPr>
        <w:pStyle w:val="BodyText"/>
        <w:spacing w:before="3"/>
        <w:rPr>
          <w:sz w:val="21"/>
        </w:rPr>
      </w:pPr>
    </w:p>
    <w:p>
      <w:pPr>
        <w:pStyle w:val="ListParagraph"/>
        <w:numPr>
          <w:ilvl w:val="2"/>
          <w:numId w:val="40"/>
        </w:numPr>
        <w:tabs>
          <w:tab w:pos="992" w:val="left" w:leader="none"/>
        </w:tabs>
        <w:spacing w:line="240" w:lineRule="auto" w:before="0" w:after="0"/>
        <w:ind w:left="992" w:right="0" w:hanging="452"/>
        <w:jc w:val="left"/>
        <w:rPr>
          <w:sz w:val="20"/>
        </w:rPr>
      </w:pPr>
      <w:r>
        <w:rPr>
          <w:sz w:val="20"/>
        </w:rPr>
        <w:t>评标基准价计算评标基准价计算方法：见评标办法前附表。</w:t>
      </w:r>
    </w:p>
    <w:p>
      <w:pPr>
        <w:pStyle w:val="BodyText"/>
        <w:spacing w:before="2"/>
        <w:rPr>
          <w:sz w:val="21"/>
        </w:rPr>
      </w:pPr>
    </w:p>
    <w:p>
      <w:pPr>
        <w:pStyle w:val="ListParagraph"/>
        <w:numPr>
          <w:ilvl w:val="2"/>
          <w:numId w:val="40"/>
        </w:numPr>
        <w:tabs>
          <w:tab w:pos="992" w:val="left" w:leader="none"/>
        </w:tabs>
        <w:spacing w:line="240" w:lineRule="auto" w:before="1" w:after="0"/>
        <w:ind w:left="992" w:right="0" w:hanging="452"/>
        <w:jc w:val="left"/>
        <w:rPr>
          <w:sz w:val="20"/>
        </w:rPr>
      </w:pPr>
      <w:r>
        <w:rPr>
          <w:sz w:val="20"/>
        </w:rPr>
        <w:t>投标报价的偏差率计算投标报价的偏差率计算公式：见评标办法前附表。</w:t>
      </w:r>
    </w:p>
    <w:p>
      <w:pPr>
        <w:pStyle w:val="BodyText"/>
        <w:spacing w:before="5"/>
        <w:rPr>
          <w:sz w:val="21"/>
        </w:rPr>
      </w:pPr>
    </w:p>
    <w:p>
      <w:pPr>
        <w:pStyle w:val="ListParagraph"/>
        <w:numPr>
          <w:ilvl w:val="2"/>
          <w:numId w:val="40"/>
        </w:numPr>
        <w:tabs>
          <w:tab w:pos="992" w:val="left" w:leader="none"/>
        </w:tabs>
        <w:spacing w:line="240" w:lineRule="auto" w:before="0" w:after="0"/>
        <w:ind w:left="992" w:right="0" w:hanging="452"/>
        <w:jc w:val="left"/>
        <w:rPr>
          <w:sz w:val="20"/>
        </w:rPr>
      </w:pPr>
      <w:r>
        <w:rPr>
          <w:sz w:val="20"/>
        </w:rPr>
        <w:t>评分标准</w:t>
      </w:r>
    </w:p>
    <w:p>
      <w:pPr>
        <w:pStyle w:val="BodyText"/>
        <w:spacing w:before="2"/>
        <w:rPr>
          <w:sz w:val="21"/>
        </w:rPr>
      </w:pPr>
    </w:p>
    <w:p>
      <w:pPr>
        <w:pStyle w:val="BodyText"/>
        <w:ind w:left="444"/>
      </w:pPr>
      <w:r>
        <w:rPr>
          <w:w w:val="95"/>
        </w:rPr>
        <w:t>（</w:t>
      </w:r>
      <w:r>
        <w:rPr>
          <w:rFonts w:ascii="Calibri" w:eastAsia="Calibri"/>
          <w:w w:val="95"/>
        </w:rPr>
        <w:t>1</w:t>
      </w:r>
      <w:r>
        <w:rPr>
          <w:w w:val="95"/>
        </w:rPr>
        <w:t>）其他因素评分标准：见评标办法前附表；</w:t>
      </w:r>
    </w:p>
    <w:p>
      <w:pPr>
        <w:pStyle w:val="BodyText"/>
        <w:spacing w:before="3"/>
        <w:rPr>
          <w:sz w:val="21"/>
        </w:rPr>
      </w:pPr>
    </w:p>
    <w:p>
      <w:pPr>
        <w:pStyle w:val="BodyText"/>
        <w:ind w:left="444"/>
      </w:pPr>
      <w:r>
        <w:rPr>
          <w:w w:val="95"/>
        </w:rPr>
        <w:t>（</w:t>
      </w:r>
      <w:r>
        <w:rPr>
          <w:rFonts w:ascii="Calibri" w:eastAsia="Calibri"/>
          <w:w w:val="95"/>
        </w:rPr>
        <w:t>2</w:t>
      </w:r>
      <w:r>
        <w:rPr>
          <w:w w:val="95"/>
        </w:rPr>
        <w:t>）技术方案评分标准：见评标办法前附表；</w:t>
      </w:r>
    </w:p>
    <w:p>
      <w:pPr>
        <w:pStyle w:val="BodyText"/>
        <w:rPr>
          <w:sz w:val="21"/>
        </w:rPr>
      </w:pPr>
    </w:p>
    <w:p>
      <w:pPr>
        <w:pStyle w:val="BodyText"/>
        <w:ind w:left="444"/>
      </w:pPr>
      <w:r>
        <w:rPr>
          <w:w w:val="95"/>
        </w:rPr>
        <w:t>（</w:t>
      </w:r>
      <w:r>
        <w:rPr>
          <w:rFonts w:ascii="Calibri" w:eastAsia="Calibri"/>
          <w:w w:val="95"/>
        </w:rPr>
        <w:t>3</w:t>
      </w:r>
      <w:r>
        <w:rPr>
          <w:w w:val="95"/>
        </w:rPr>
        <w:t>）投标报价评分标准：见评标办法前附表；</w:t>
      </w:r>
    </w:p>
    <w:p>
      <w:pPr>
        <w:pStyle w:val="BodyText"/>
        <w:rPr>
          <w:sz w:val="22"/>
        </w:rPr>
      </w:pPr>
    </w:p>
    <w:p>
      <w:pPr>
        <w:pStyle w:val="Heading3"/>
        <w:ind w:left="862"/>
        <w:rPr>
          <w:rFonts w:ascii="黑体" w:eastAsia="黑体" w:hint="eastAsia"/>
        </w:rPr>
      </w:pPr>
      <w:r>
        <w:rPr>
          <w:rFonts w:ascii="黑体" w:eastAsia="黑体" w:hint="eastAsia"/>
          <w:w w:val="95"/>
        </w:rPr>
        <w:t>3.评标程序</w:t>
      </w:r>
    </w:p>
    <w:p>
      <w:pPr>
        <w:pStyle w:val="Heading6"/>
        <w:spacing w:before="216"/>
      </w:pPr>
      <w:r>
        <w:rPr>
          <w:rFonts w:ascii="Times New Roman" w:eastAsia="Times New Roman"/>
        </w:rPr>
        <w:t>3.1 </w:t>
      </w:r>
      <w:r>
        <w:rPr/>
        <w:t>初步评审</w:t>
      </w:r>
    </w:p>
    <w:p>
      <w:pPr>
        <w:pStyle w:val="ListParagraph"/>
        <w:numPr>
          <w:ilvl w:val="2"/>
          <w:numId w:val="41"/>
        </w:numPr>
        <w:tabs>
          <w:tab w:pos="1069" w:val="left" w:leader="none"/>
        </w:tabs>
        <w:spacing w:line="364" w:lineRule="auto" w:before="197" w:after="0"/>
        <w:ind w:left="116" w:right="1065" w:firstLine="424"/>
        <w:jc w:val="both"/>
        <w:rPr>
          <w:sz w:val="20"/>
        </w:rPr>
      </w:pPr>
      <w:r>
        <w:rPr>
          <w:spacing w:val="10"/>
          <w:sz w:val="20"/>
        </w:rPr>
        <w:t>评标委员会可以要求投标人提交第二章</w:t>
      </w:r>
      <w:r>
        <w:rPr>
          <w:rFonts w:ascii="Calibri" w:hAnsi="Calibri" w:eastAsia="Calibri"/>
          <w:spacing w:val="10"/>
          <w:sz w:val="20"/>
        </w:rPr>
        <w:t>“</w:t>
      </w:r>
      <w:r>
        <w:rPr>
          <w:spacing w:val="10"/>
          <w:sz w:val="20"/>
        </w:rPr>
        <w:t>投标人须知</w:t>
      </w:r>
      <w:r>
        <w:rPr>
          <w:rFonts w:ascii="Calibri" w:hAnsi="Calibri" w:eastAsia="Calibri"/>
          <w:spacing w:val="10"/>
          <w:sz w:val="20"/>
        </w:rPr>
        <w:t>”</w:t>
      </w:r>
      <w:r>
        <w:rPr>
          <w:spacing w:val="6"/>
          <w:sz w:val="20"/>
        </w:rPr>
        <w:t>规定的有关证明和证件的原件，以</w:t>
      </w:r>
      <w:r>
        <w:rPr>
          <w:spacing w:val="1"/>
          <w:sz w:val="20"/>
        </w:rPr>
        <w:t>便核 验。评标委员会依据本章第 </w:t>
      </w:r>
      <w:r>
        <w:rPr>
          <w:rFonts w:ascii="Calibri" w:hAnsi="Calibri" w:eastAsia="Calibri"/>
          <w:spacing w:val="2"/>
          <w:sz w:val="20"/>
        </w:rPr>
        <w:t>2.1</w:t>
      </w:r>
      <w:r>
        <w:rPr>
          <w:rFonts w:ascii="Calibri" w:hAnsi="Calibri" w:eastAsia="Calibri"/>
          <w:spacing w:val="32"/>
          <w:sz w:val="20"/>
        </w:rPr>
        <w:t> </w:t>
      </w:r>
      <w:r>
        <w:rPr>
          <w:spacing w:val="6"/>
          <w:sz w:val="20"/>
        </w:rPr>
        <w:t>款规定的标准对投标文件进行初步评审。有一项不符合评审</w:t>
      </w:r>
      <w:r>
        <w:rPr>
          <w:spacing w:val="5"/>
          <w:sz w:val="20"/>
        </w:rPr>
        <w:t>标准的，评</w:t>
      </w:r>
    </w:p>
    <w:p>
      <w:pPr>
        <w:spacing w:after="0" w:line="364" w:lineRule="auto"/>
        <w:jc w:val="both"/>
        <w:rPr>
          <w:sz w:val="20"/>
        </w:rPr>
        <w:sectPr>
          <w:pgSz w:w="11910" w:h="16840"/>
          <w:pgMar w:header="0" w:footer="686" w:top="1520" w:bottom="880" w:left="1300" w:right="500"/>
        </w:sectPr>
      </w:pPr>
    </w:p>
    <w:p>
      <w:pPr>
        <w:pStyle w:val="BodyText"/>
        <w:spacing w:before="57"/>
        <w:ind w:left="118"/>
      </w:pPr>
      <w:r>
        <w:rPr/>
        <w:t>标委员会应当否决其投标。</w:t>
      </w:r>
    </w:p>
    <w:p>
      <w:pPr>
        <w:pStyle w:val="BodyText"/>
        <w:rPr>
          <w:sz w:val="21"/>
        </w:rPr>
      </w:pPr>
    </w:p>
    <w:p>
      <w:pPr>
        <w:pStyle w:val="ListParagraph"/>
        <w:numPr>
          <w:ilvl w:val="2"/>
          <w:numId w:val="41"/>
        </w:numPr>
        <w:tabs>
          <w:tab w:pos="1052" w:val="left" w:leader="none"/>
        </w:tabs>
        <w:spacing w:line="240" w:lineRule="auto" w:before="0" w:after="0"/>
        <w:ind w:left="1052" w:right="0" w:hanging="512"/>
        <w:jc w:val="left"/>
        <w:rPr>
          <w:sz w:val="20"/>
        </w:rPr>
      </w:pPr>
      <w:r>
        <w:rPr>
          <w:spacing w:val="5"/>
          <w:sz w:val="20"/>
        </w:rPr>
        <w:t>投标人有以下情形之一的，评标委员会应当否决其投标：</w:t>
      </w:r>
    </w:p>
    <w:p>
      <w:pPr>
        <w:pStyle w:val="BodyText"/>
        <w:rPr>
          <w:sz w:val="22"/>
        </w:rPr>
      </w:pPr>
    </w:p>
    <w:p>
      <w:pPr>
        <w:pStyle w:val="BodyText"/>
        <w:spacing w:line="304" w:lineRule="auto"/>
        <w:ind w:left="115" w:right="1091" w:firstLine="328"/>
      </w:pPr>
      <w:r>
        <w:rPr/>
        <w:t>（</w:t>
      </w:r>
      <w:r>
        <w:rPr>
          <w:rFonts w:ascii="Calibri" w:eastAsia="Calibri"/>
        </w:rPr>
        <w:t>1</w:t>
      </w:r>
      <w:r>
        <w:rPr/>
        <w:t>）投标文件没有对招标文件的实质性要求和条件作出响应，或者对招标文件的偏差超出招标文 件规定的偏差范围或最高项数；</w:t>
      </w:r>
    </w:p>
    <w:p>
      <w:pPr>
        <w:pStyle w:val="BodyText"/>
        <w:spacing w:before="6"/>
        <w:rPr>
          <w:sz w:val="21"/>
        </w:rPr>
      </w:pPr>
    </w:p>
    <w:p>
      <w:pPr>
        <w:pStyle w:val="BodyText"/>
        <w:ind w:left="444"/>
      </w:pPr>
      <w:r>
        <w:rPr/>
        <w:t>（</w:t>
      </w:r>
      <w:r>
        <w:rPr>
          <w:rFonts w:ascii="Calibri" w:eastAsia="Calibri"/>
        </w:rPr>
        <w:t>2</w:t>
      </w:r>
      <w:r>
        <w:rPr/>
        <w:t>）有串通投标、弄虚作假、行贿等违法行为。</w:t>
      </w:r>
    </w:p>
    <w:p>
      <w:pPr>
        <w:pStyle w:val="BodyText"/>
        <w:spacing w:before="2"/>
        <w:rPr>
          <w:sz w:val="22"/>
        </w:rPr>
      </w:pPr>
    </w:p>
    <w:p>
      <w:pPr>
        <w:pStyle w:val="BodyText"/>
        <w:spacing w:line="302" w:lineRule="auto"/>
        <w:ind w:left="120" w:right="1105" w:firstLine="420"/>
      </w:pPr>
      <w:r>
        <w:rPr>
          <w:rFonts w:ascii="Calibri" w:eastAsia="Calibri"/>
        </w:rPr>
        <w:t>3. 1.3 </w:t>
      </w:r>
      <w:r>
        <w:rPr/>
        <w:t>投标报价有算术错误及其他错误的，评标委员会按以下原则要求投标人对投标报价进行修 正，并要求投标人书面澄清确认。投标人拒不澄清确认的，评标委员会应当否决其投标：</w:t>
      </w:r>
    </w:p>
    <w:p>
      <w:pPr>
        <w:pStyle w:val="BodyText"/>
        <w:spacing w:before="7"/>
        <w:rPr>
          <w:sz w:val="21"/>
        </w:rPr>
      </w:pPr>
    </w:p>
    <w:p>
      <w:pPr>
        <w:pStyle w:val="BodyText"/>
        <w:ind w:left="444"/>
      </w:pPr>
      <w:r>
        <w:rPr/>
        <w:t>（</w:t>
      </w:r>
      <w:r>
        <w:rPr>
          <w:rFonts w:ascii="Calibri" w:eastAsia="Calibri"/>
        </w:rPr>
        <w:t>1</w:t>
      </w:r>
      <w:r>
        <w:rPr/>
        <w:t>）投标文件中的大写金额与小写金额不一致的，以大写金额为准；</w:t>
      </w:r>
    </w:p>
    <w:p>
      <w:pPr>
        <w:pStyle w:val="BodyText"/>
        <w:spacing w:before="5"/>
        <w:rPr>
          <w:sz w:val="21"/>
        </w:rPr>
      </w:pPr>
    </w:p>
    <w:p>
      <w:pPr>
        <w:pStyle w:val="BodyText"/>
        <w:ind w:left="444"/>
      </w:pPr>
      <w:r>
        <w:rPr/>
        <w:t>（</w:t>
      </w:r>
      <w:r>
        <w:rPr>
          <w:rFonts w:ascii="Calibri" w:eastAsia="Calibri"/>
        </w:rPr>
        <w:t>2</w:t>
      </w:r>
      <w:r>
        <w:rPr/>
        <w:t>）总价金额与单价金额不一致的，以单价金额为准，但单价金额小数点有明显错误的除外。</w:t>
      </w:r>
    </w:p>
    <w:p>
      <w:pPr>
        <w:pStyle w:val="BodyText"/>
        <w:spacing w:before="12"/>
      </w:pPr>
    </w:p>
    <w:p>
      <w:pPr>
        <w:pStyle w:val="Heading6"/>
      </w:pPr>
      <w:r>
        <w:rPr>
          <w:rFonts w:ascii="Times New Roman" w:eastAsia="Times New Roman"/>
        </w:rPr>
        <w:t>3.2 </w:t>
      </w:r>
      <w:r>
        <w:rPr/>
        <w:t>详细评审</w:t>
      </w:r>
    </w:p>
    <w:p>
      <w:pPr>
        <w:pStyle w:val="ListParagraph"/>
        <w:numPr>
          <w:ilvl w:val="2"/>
          <w:numId w:val="42"/>
        </w:numPr>
        <w:tabs>
          <w:tab w:pos="1050" w:val="left" w:leader="none"/>
        </w:tabs>
        <w:spacing w:line="240" w:lineRule="auto" w:before="187" w:after="0"/>
        <w:ind w:left="132" w:right="0" w:firstLine="408"/>
        <w:jc w:val="left"/>
        <w:rPr>
          <w:sz w:val="20"/>
        </w:rPr>
      </w:pPr>
      <w:r>
        <w:rPr>
          <w:spacing w:val="1"/>
          <w:sz w:val="20"/>
        </w:rPr>
        <w:t>评标委员会按本章第 </w:t>
      </w:r>
      <w:r>
        <w:rPr>
          <w:rFonts w:ascii="Calibri" w:eastAsia="Calibri"/>
          <w:spacing w:val="2"/>
          <w:sz w:val="20"/>
        </w:rPr>
        <w:t>2.2</w:t>
      </w:r>
      <w:r>
        <w:rPr>
          <w:rFonts w:ascii="Calibri" w:eastAsia="Calibri"/>
          <w:spacing w:val="30"/>
          <w:sz w:val="20"/>
        </w:rPr>
        <w:t> </w:t>
      </w:r>
      <w:r>
        <w:rPr>
          <w:spacing w:val="5"/>
          <w:sz w:val="20"/>
        </w:rPr>
        <w:t>款规定的量化因素和分值进行打分，并计算出综合评估得分。</w:t>
      </w:r>
    </w:p>
    <w:p>
      <w:pPr>
        <w:pStyle w:val="BodyText"/>
        <w:spacing w:before="3"/>
        <w:rPr>
          <w:sz w:val="21"/>
        </w:rPr>
      </w:pPr>
    </w:p>
    <w:p>
      <w:pPr>
        <w:pStyle w:val="BodyText"/>
        <w:ind w:left="444"/>
      </w:pPr>
      <w:r>
        <w:rPr/>
        <w:t>（</w:t>
      </w:r>
      <w:r>
        <w:rPr>
          <w:rFonts w:ascii="Calibri" w:eastAsia="Calibri"/>
        </w:rPr>
        <w:t>1</w:t>
      </w:r>
      <w:r>
        <w:rPr/>
        <w:t>）按本章第 </w:t>
      </w:r>
      <w:r>
        <w:rPr>
          <w:rFonts w:ascii="Calibri" w:eastAsia="Calibri"/>
        </w:rPr>
        <w:t>2.2.4</w:t>
      </w:r>
      <w:r>
        <w:rPr/>
        <w:t>（</w:t>
      </w:r>
      <w:r>
        <w:rPr>
          <w:rFonts w:ascii="Calibri" w:eastAsia="Calibri"/>
        </w:rPr>
        <w:t>1</w:t>
      </w:r>
      <w:r>
        <w:rPr/>
        <w:t>） 目规定的评审因素和分值对其他因素部分计算出得分</w:t>
      </w:r>
      <w:r>
        <w:rPr>
          <w:rFonts w:ascii="Calibri" w:eastAsia="Calibri"/>
        </w:rPr>
        <w:t>A</w:t>
      </w:r>
      <w:r>
        <w:rPr/>
        <w:t>；</w:t>
      </w:r>
    </w:p>
    <w:p>
      <w:pPr>
        <w:pStyle w:val="BodyText"/>
        <w:spacing w:before="2"/>
        <w:rPr>
          <w:sz w:val="21"/>
        </w:rPr>
      </w:pPr>
    </w:p>
    <w:p>
      <w:pPr>
        <w:pStyle w:val="BodyText"/>
        <w:spacing w:before="1"/>
        <w:ind w:left="444"/>
      </w:pPr>
      <w:r>
        <w:rPr/>
        <w:t>（</w:t>
      </w:r>
      <w:r>
        <w:rPr>
          <w:rFonts w:ascii="Calibri" w:eastAsia="Calibri"/>
        </w:rPr>
        <w:t>2</w:t>
      </w:r>
      <w:r>
        <w:rPr/>
        <w:t>）按本章第 </w:t>
      </w:r>
      <w:r>
        <w:rPr>
          <w:rFonts w:ascii="Calibri" w:eastAsia="Calibri"/>
        </w:rPr>
        <w:t>2.2.4</w:t>
      </w:r>
      <w:r>
        <w:rPr/>
        <w:t>（</w:t>
      </w:r>
      <w:r>
        <w:rPr>
          <w:rFonts w:ascii="Calibri" w:eastAsia="Calibri"/>
        </w:rPr>
        <w:t>2</w:t>
      </w:r>
      <w:r>
        <w:rPr/>
        <w:t>） 目规定的评审因素和分值对技术方案部分计算出得分 </w:t>
      </w:r>
      <w:r>
        <w:rPr>
          <w:rFonts w:ascii="Calibri" w:eastAsia="Calibri"/>
        </w:rPr>
        <w:t>B</w:t>
      </w:r>
      <w:r>
        <w:rPr/>
        <w:t>；</w:t>
      </w:r>
    </w:p>
    <w:p>
      <w:pPr>
        <w:pStyle w:val="BodyText"/>
        <w:rPr>
          <w:sz w:val="21"/>
        </w:rPr>
      </w:pPr>
    </w:p>
    <w:p>
      <w:pPr>
        <w:pStyle w:val="BodyText"/>
        <w:ind w:left="444"/>
      </w:pPr>
      <w:r>
        <w:rPr/>
        <w:t>（</w:t>
      </w:r>
      <w:r>
        <w:rPr>
          <w:rFonts w:ascii="Calibri" w:eastAsia="Calibri"/>
        </w:rPr>
        <w:t>3</w:t>
      </w:r>
      <w:r>
        <w:rPr/>
        <w:t>）按本章第 </w:t>
      </w:r>
      <w:r>
        <w:rPr>
          <w:rFonts w:ascii="Calibri" w:eastAsia="Calibri"/>
        </w:rPr>
        <w:t>2.2.4</w:t>
      </w:r>
      <w:r>
        <w:rPr/>
        <w:t>（</w:t>
      </w:r>
      <w:r>
        <w:rPr>
          <w:rFonts w:ascii="Calibri" w:eastAsia="Calibri"/>
        </w:rPr>
        <w:t>3</w:t>
      </w:r>
      <w:r>
        <w:rPr/>
        <w:t>） 目规定的评审因素和分值对投标报价计算出得分 </w:t>
      </w:r>
      <w:r>
        <w:rPr>
          <w:rFonts w:ascii="Calibri" w:eastAsia="Calibri"/>
        </w:rPr>
        <w:t>C</w:t>
      </w:r>
      <w:r>
        <w:rPr/>
        <w:t>；</w:t>
      </w:r>
    </w:p>
    <w:p>
      <w:pPr>
        <w:pStyle w:val="BodyText"/>
        <w:spacing w:before="7"/>
        <w:rPr>
          <w:sz w:val="21"/>
        </w:rPr>
      </w:pPr>
    </w:p>
    <w:p>
      <w:pPr>
        <w:pStyle w:val="ListParagraph"/>
        <w:numPr>
          <w:ilvl w:val="2"/>
          <w:numId w:val="42"/>
        </w:numPr>
        <w:tabs>
          <w:tab w:pos="1050" w:val="left" w:leader="none"/>
        </w:tabs>
        <w:spacing w:line="240" w:lineRule="auto" w:before="0" w:after="0"/>
        <w:ind w:left="132" w:right="0" w:firstLine="408"/>
        <w:jc w:val="left"/>
        <w:rPr>
          <w:sz w:val="20"/>
        </w:rPr>
      </w:pPr>
      <w:r>
        <w:rPr>
          <w:spacing w:val="5"/>
          <w:sz w:val="20"/>
        </w:rPr>
        <w:t>评分分值计算保留小数点后两位，小数点后第三位</w:t>
      </w:r>
      <w:r>
        <w:rPr>
          <w:rFonts w:ascii="Calibri" w:hAnsi="Calibri" w:eastAsia="Calibri"/>
          <w:spacing w:val="5"/>
          <w:sz w:val="20"/>
        </w:rPr>
        <w:t>“</w:t>
      </w:r>
      <w:r>
        <w:rPr>
          <w:spacing w:val="5"/>
          <w:sz w:val="20"/>
        </w:rPr>
        <w:t>四舍五入</w:t>
      </w:r>
      <w:r>
        <w:rPr>
          <w:rFonts w:ascii="Calibri" w:hAnsi="Calibri" w:eastAsia="Calibri"/>
          <w:spacing w:val="5"/>
          <w:sz w:val="20"/>
        </w:rPr>
        <w:t>”</w:t>
      </w:r>
      <w:r>
        <w:rPr>
          <w:sz w:val="20"/>
        </w:rPr>
        <w:t>。</w:t>
      </w:r>
    </w:p>
    <w:p>
      <w:pPr>
        <w:pStyle w:val="BodyText"/>
        <w:rPr>
          <w:sz w:val="21"/>
        </w:rPr>
      </w:pPr>
    </w:p>
    <w:p>
      <w:pPr>
        <w:pStyle w:val="ListParagraph"/>
        <w:numPr>
          <w:ilvl w:val="2"/>
          <w:numId w:val="42"/>
        </w:numPr>
        <w:tabs>
          <w:tab w:pos="1040" w:val="left" w:leader="none"/>
        </w:tabs>
        <w:spacing w:line="240" w:lineRule="auto" w:before="1" w:after="0"/>
        <w:ind w:left="1040" w:right="0" w:hanging="500"/>
        <w:jc w:val="left"/>
        <w:rPr>
          <w:sz w:val="20"/>
        </w:rPr>
      </w:pPr>
      <w:r>
        <w:rPr>
          <w:spacing w:val="5"/>
          <w:sz w:val="20"/>
        </w:rPr>
        <w:t>投标人得分</w:t>
      </w:r>
      <w:r>
        <w:rPr>
          <w:rFonts w:ascii="Calibri" w:eastAsia="Calibri"/>
          <w:spacing w:val="1"/>
          <w:sz w:val="20"/>
        </w:rPr>
        <w:t>=A+B+C</w:t>
      </w:r>
      <w:r>
        <w:rPr>
          <w:sz w:val="20"/>
        </w:rPr>
        <w:t>。</w:t>
      </w:r>
    </w:p>
    <w:p>
      <w:pPr>
        <w:pStyle w:val="BodyText"/>
        <w:spacing w:before="12"/>
        <w:rPr>
          <w:sz w:val="21"/>
        </w:rPr>
      </w:pPr>
    </w:p>
    <w:p>
      <w:pPr>
        <w:pStyle w:val="ListParagraph"/>
        <w:numPr>
          <w:ilvl w:val="2"/>
          <w:numId w:val="42"/>
        </w:numPr>
        <w:tabs>
          <w:tab w:pos="1060" w:val="left" w:leader="none"/>
        </w:tabs>
        <w:spacing w:line="304" w:lineRule="auto" w:before="0" w:after="0"/>
        <w:ind w:left="132" w:right="947" w:firstLine="406"/>
        <w:jc w:val="left"/>
        <w:rPr>
          <w:sz w:val="20"/>
        </w:rPr>
      </w:pPr>
      <w:r>
        <w:rPr>
          <w:spacing w:val="5"/>
          <w:sz w:val="20"/>
        </w:rPr>
        <w:t>评标委员会发现投标人的报价明显低于其他投标报价，使得其投标报价可能低于其个 别</w:t>
      </w:r>
      <w:r>
        <w:rPr>
          <w:spacing w:val="5"/>
          <w:sz w:val="20"/>
        </w:rPr>
        <w:t>成本 的，应当要求该投标人作出书面说明并提供相应的证明材料。投标人不能合理说明或者不能</w:t>
      </w:r>
      <w:r>
        <w:rPr>
          <w:spacing w:val="7"/>
          <w:sz w:val="20"/>
        </w:rPr>
        <w:t>提供相应</w:t>
      </w:r>
    </w:p>
    <w:p>
      <w:pPr>
        <w:pStyle w:val="BodyText"/>
        <w:spacing w:before="154"/>
        <w:ind w:left="115"/>
      </w:pPr>
      <w:r>
        <w:rPr/>
        <w:t>证明材料的，评标委员会应当认定该投标人以低于成本报价竞标，并否决其投标。</w:t>
      </w:r>
    </w:p>
    <w:p>
      <w:pPr>
        <w:pStyle w:val="BodyText"/>
        <w:spacing w:before="12"/>
      </w:pPr>
    </w:p>
    <w:p>
      <w:pPr>
        <w:pStyle w:val="Heading6"/>
      </w:pPr>
      <w:r>
        <w:rPr>
          <w:rFonts w:ascii="Times New Roman" w:eastAsia="Times New Roman"/>
        </w:rPr>
        <w:t>3.3 </w:t>
      </w:r>
      <w:r>
        <w:rPr/>
        <w:t>投标文件的澄清</w:t>
      </w:r>
    </w:p>
    <w:p>
      <w:pPr>
        <w:pStyle w:val="ListParagraph"/>
        <w:numPr>
          <w:ilvl w:val="2"/>
          <w:numId w:val="43"/>
        </w:numPr>
        <w:tabs>
          <w:tab w:pos="1076" w:val="left" w:leader="none"/>
        </w:tabs>
        <w:spacing w:line="372" w:lineRule="auto" w:before="199" w:after="0"/>
        <w:ind w:left="116" w:right="928" w:firstLine="424"/>
        <w:jc w:val="both"/>
        <w:rPr>
          <w:sz w:val="20"/>
        </w:rPr>
      </w:pPr>
      <w:r>
        <w:rPr>
          <w:spacing w:val="10"/>
          <w:sz w:val="20"/>
        </w:rPr>
        <w:t>在评标过程中，评标委员会可以书面形式要求投标人对投标文件中含义不明确、对同类</w:t>
      </w:r>
      <w:r>
        <w:rPr>
          <w:spacing w:val="7"/>
          <w:sz w:val="20"/>
        </w:rPr>
        <w:t>问题 表述不一致或者有明显文字和计算错误的内容作必要的澄清、说明或补正。澄清、说明或补</w:t>
      </w:r>
      <w:r>
        <w:rPr>
          <w:spacing w:val="6"/>
          <w:sz w:val="20"/>
        </w:rPr>
        <w:t>正应以书 面方式进行。评标委员会不接受投标人主动提出的澄清、说明或补正。</w:t>
      </w:r>
    </w:p>
    <w:p>
      <w:pPr>
        <w:pStyle w:val="ListParagraph"/>
        <w:numPr>
          <w:ilvl w:val="2"/>
          <w:numId w:val="43"/>
        </w:numPr>
        <w:tabs>
          <w:tab w:pos="1060" w:val="left" w:leader="none"/>
        </w:tabs>
        <w:spacing w:line="304" w:lineRule="auto" w:before="153" w:after="0"/>
        <w:ind w:left="118" w:right="1021" w:firstLine="420"/>
        <w:jc w:val="left"/>
        <w:rPr>
          <w:sz w:val="20"/>
        </w:rPr>
      </w:pPr>
      <w:r>
        <w:rPr>
          <w:spacing w:val="5"/>
          <w:sz w:val="20"/>
        </w:rPr>
        <w:t>澄清、说明或补正不得超出投标文件的范围且不得改变投标文件的实质性内容，并构 成</w:t>
      </w:r>
      <w:r>
        <w:rPr>
          <w:spacing w:val="2"/>
          <w:sz w:val="20"/>
        </w:rPr>
        <w:t>投标 文件的组成部分。</w:t>
      </w:r>
    </w:p>
    <w:p>
      <w:pPr>
        <w:pStyle w:val="ListParagraph"/>
        <w:numPr>
          <w:ilvl w:val="2"/>
          <w:numId w:val="43"/>
        </w:numPr>
        <w:tabs>
          <w:tab w:pos="1093" w:val="left" w:leader="none"/>
        </w:tabs>
        <w:spacing w:line="225" w:lineRule="auto" w:before="155" w:after="0"/>
        <w:ind w:left="116" w:right="1005" w:firstLine="444"/>
        <w:jc w:val="left"/>
        <w:rPr>
          <w:sz w:val="20"/>
        </w:rPr>
      </w:pPr>
      <w:r>
        <w:rPr>
          <w:spacing w:val="6"/>
          <w:sz w:val="20"/>
        </w:rPr>
        <w:t>评标委员会对投标人提交的澄清、说明或补正有疑问的，可以要求投标人进一步澄清、</w:t>
      </w:r>
      <w:r>
        <w:rPr>
          <w:spacing w:val="5"/>
          <w:sz w:val="20"/>
        </w:rPr>
        <w:t>说明 或补正，直至满足评标委员会的要求。</w:t>
      </w:r>
    </w:p>
    <w:p>
      <w:pPr>
        <w:pStyle w:val="Heading6"/>
        <w:spacing w:before="137"/>
      </w:pPr>
      <w:r>
        <w:rPr>
          <w:rFonts w:ascii="Times New Roman" w:eastAsia="Times New Roman"/>
        </w:rPr>
        <w:t>3.4 </w:t>
      </w:r>
      <w:r>
        <w:rPr/>
        <w:t>评标结果</w:t>
      </w:r>
    </w:p>
    <w:p>
      <w:pPr>
        <w:spacing w:after="0"/>
        <w:sectPr>
          <w:footerReference w:type="default" r:id="rId23"/>
          <w:pgSz w:w="11910" w:h="16840"/>
          <w:pgMar w:footer="948" w:header="0" w:top="1480" w:bottom="1140" w:left="1300" w:right="500"/>
          <w:pgNumType w:start="34"/>
        </w:sectPr>
      </w:pPr>
    </w:p>
    <w:p>
      <w:pPr>
        <w:pStyle w:val="ListParagraph"/>
        <w:numPr>
          <w:ilvl w:val="2"/>
          <w:numId w:val="44"/>
        </w:numPr>
        <w:tabs>
          <w:tab w:pos="1093" w:val="left" w:leader="none"/>
        </w:tabs>
        <w:spacing w:line="304" w:lineRule="auto" w:before="60" w:after="0"/>
        <w:ind w:left="116" w:right="1024" w:firstLine="422"/>
        <w:jc w:val="left"/>
        <w:rPr>
          <w:sz w:val="20"/>
        </w:rPr>
      </w:pPr>
      <w:r>
        <w:rPr>
          <w:spacing w:val="10"/>
          <w:sz w:val="20"/>
        </w:rPr>
        <w:t>除第二章</w:t>
      </w:r>
      <w:r>
        <w:rPr>
          <w:rFonts w:ascii="Calibri" w:hAnsi="Calibri" w:eastAsia="Calibri"/>
          <w:spacing w:val="10"/>
          <w:sz w:val="20"/>
        </w:rPr>
        <w:t>“</w:t>
      </w:r>
      <w:r>
        <w:rPr>
          <w:spacing w:val="10"/>
          <w:sz w:val="20"/>
        </w:rPr>
        <w:t>投标人须知</w:t>
      </w:r>
      <w:r>
        <w:rPr>
          <w:rFonts w:ascii="Calibri" w:hAnsi="Calibri" w:eastAsia="Calibri"/>
          <w:spacing w:val="10"/>
          <w:sz w:val="20"/>
        </w:rPr>
        <w:t>”</w:t>
      </w:r>
      <w:r>
        <w:rPr>
          <w:spacing w:val="7"/>
          <w:sz w:val="20"/>
        </w:rPr>
        <w:t>前附表授权直接确定中标人外，评标委员会按照得分由高到低的</w:t>
      </w:r>
      <w:r>
        <w:rPr>
          <w:spacing w:val="5"/>
          <w:sz w:val="20"/>
        </w:rPr>
        <w:t>顺序 推荐中标候选人，并标明排序。</w:t>
      </w:r>
    </w:p>
    <w:p>
      <w:pPr>
        <w:pStyle w:val="ListParagraph"/>
        <w:numPr>
          <w:ilvl w:val="2"/>
          <w:numId w:val="44"/>
        </w:numPr>
        <w:tabs>
          <w:tab w:pos="1379" w:val="left" w:leader="none"/>
        </w:tabs>
        <w:spacing w:line="240" w:lineRule="auto" w:before="2" w:after="0"/>
        <w:ind w:left="1378" w:right="0" w:hanging="526"/>
        <w:jc w:val="left"/>
        <w:rPr>
          <w:sz w:val="20"/>
        </w:rPr>
      </w:pPr>
      <w:r>
        <w:rPr>
          <w:spacing w:val="5"/>
          <w:sz w:val="20"/>
        </w:rPr>
        <w:t>评标委员会完成评标后，应当向招标人提交书面评标报告和中标候选人名单。</w:t>
      </w:r>
    </w:p>
    <w:p>
      <w:pPr>
        <w:spacing w:after="0" w:line="240" w:lineRule="auto"/>
        <w:jc w:val="left"/>
        <w:rPr>
          <w:sz w:val="20"/>
        </w:rPr>
        <w:sectPr>
          <w:pgSz w:w="11910" w:h="16840"/>
          <w:pgMar w:header="0" w:footer="948" w:top="1340" w:bottom="1140" w:left="1300" w:right="500"/>
        </w:sectPr>
      </w:pPr>
    </w:p>
    <w:p>
      <w:pPr>
        <w:pStyle w:val="Heading1"/>
        <w:spacing w:before="38"/>
        <w:ind w:left="2792"/>
      </w:pPr>
      <w:bookmarkStart w:name="第四章 合同条款及格式" w:id="7"/>
      <w:bookmarkEnd w:id="7"/>
      <w:r>
        <w:rPr>
          <w:b w:val="0"/>
        </w:rPr>
      </w:r>
      <w:bookmarkStart w:name="_bookmark3" w:id="8"/>
      <w:bookmarkEnd w:id="8"/>
      <w:r>
        <w:rPr>
          <w:b w:val="0"/>
        </w:rPr>
      </w:r>
      <w:r>
        <w:rPr/>
        <w:t>第四章 合同条款及格式</w:t>
      </w:r>
    </w:p>
    <w:p>
      <w:pPr>
        <w:pStyle w:val="BodyText"/>
        <w:rPr>
          <w:b/>
          <w:sz w:val="34"/>
        </w:rPr>
      </w:pPr>
    </w:p>
    <w:p>
      <w:pPr>
        <w:pStyle w:val="BodyText"/>
        <w:rPr>
          <w:b/>
          <w:sz w:val="34"/>
        </w:rPr>
      </w:pPr>
    </w:p>
    <w:p>
      <w:pPr>
        <w:pStyle w:val="BodyText"/>
        <w:rPr>
          <w:b/>
          <w:sz w:val="34"/>
        </w:rPr>
      </w:pPr>
    </w:p>
    <w:p>
      <w:pPr>
        <w:pStyle w:val="BodyText"/>
        <w:spacing w:before="2"/>
        <w:rPr>
          <w:b/>
          <w:sz w:val="29"/>
        </w:rPr>
      </w:pPr>
    </w:p>
    <w:p>
      <w:pPr>
        <w:spacing w:line="427" w:lineRule="auto" w:before="1"/>
        <w:ind w:left="912" w:right="1713" w:firstLine="0"/>
        <w:jc w:val="center"/>
        <w:rPr>
          <w:rFonts w:ascii="黑体" w:eastAsia="黑体" w:hint="eastAsia"/>
          <w:sz w:val="44"/>
        </w:rPr>
      </w:pPr>
      <w:r>
        <w:rPr>
          <w:rFonts w:ascii="黑体" w:eastAsia="黑体" w:hint="eastAsia"/>
          <w:w w:val="95"/>
          <w:sz w:val="44"/>
        </w:rPr>
        <w:t>张北县6.25MW村级分布式屋顶光伏电站</w:t>
      </w:r>
      <w:r>
        <w:rPr>
          <w:rFonts w:ascii="黑体" w:eastAsia="黑体" w:hint="eastAsia"/>
          <w:sz w:val="44"/>
        </w:rPr>
        <w:t>运行维护委托合同</w:t>
      </w:r>
    </w:p>
    <w:p>
      <w:pPr>
        <w:pStyle w:val="BodyText"/>
        <w:rPr>
          <w:rFonts w:ascii="黑体"/>
          <w:sz w:val="44"/>
        </w:rPr>
      </w:pPr>
    </w:p>
    <w:p>
      <w:pPr>
        <w:pStyle w:val="BodyText"/>
        <w:rPr>
          <w:rFonts w:ascii="黑体"/>
          <w:sz w:val="44"/>
        </w:rPr>
      </w:pPr>
    </w:p>
    <w:p>
      <w:pPr>
        <w:pStyle w:val="BodyText"/>
        <w:rPr>
          <w:rFonts w:ascii="黑体"/>
          <w:sz w:val="44"/>
        </w:rPr>
      </w:pPr>
    </w:p>
    <w:p>
      <w:pPr>
        <w:pStyle w:val="BodyText"/>
        <w:rPr>
          <w:rFonts w:ascii="黑体"/>
          <w:sz w:val="44"/>
        </w:rPr>
      </w:pPr>
    </w:p>
    <w:p>
      <w:pPr>
        <w:pStyle w:val="BodyText"/>
        <w:rPr>
          <w:rFonts w:ascii="黑体"/>
          <w:sz w:val="44"/>
        </w:rPr>
      </w:pPr>
    </w:p>
    <w:p>
      <w:pPr>
        <w:pStyle w:val="BodyText"/>
        <w:rPr>
          <w:rFonts w:ascii="黑体"/>
          <w:sz w:val="44"/>
        </w:rPr>
      </w:pPr>
    </w:p>
    <w:p>
      <w:pPr>
        <w:pStyle w:val="BodyText"/>
        <w:rPr>
          <w:rFonts w:ascii="黑体"/>
          <w:sz w:val="44"/>
        </w:rPr>
      </w:pPr>
    </w:p>
    <w:p>
      <w:pPr>
        <w:pStyle w:val="BodyText"/>
        <w:rPr>
          <w:rFonts w:ascii="黑体"/>
          <w:sz w:val="44"/>
        </w:rPr>
      </w:pPr>
    </w:p>
    <w:p>
      <w:pPr>
        <w:pStyle w:val="Heading2"/>
        <w:spacing w:line="487" w:lineRule="auto" w:before="308"/>
      </w:pPr>
      <w:r>
        <w:rPr/>
        <w:t>甲方:张北县大容新能源开发有限公司乙方:</w:t>
      </w:r>
    </w:p>
    <w:p>
      <w:pPr>
        <w:pStyle w:val="Heading2"/>
        <w:tabs>
          <w:tab w:pos="2995" w:val="left" w:leader="none"/>
          <w:tab w:pos="3955" w:val="left" w:leader="none"/>
          <w:tab w:pos="4915" w:val="left" w:leader="none"/>
        </w:tabs>
        <w:spacing w:line="487" w:lineRule="auto"/>
        <w:ind w:right="4870"/>
      </w:pPr>
      <w:r>
        <w:rPr/>
        <w:t>签订日期：</w:t>
        <w:tab/>
        <w:t>年</w:t>
        <w:tab/>
        <w:t>月</w:t>
        <w:tab/>
        <w:t>日签订地点：张家口市张北县</w:t>
      </w:r>
    </w:p>
    <w:p>
      <w:pPr>
        <w:spacing w:after="0" w:line="487" w:lineRule="auto"/>
        <w:sectPr>
          <w:pgSz w:w="11910" w:h="16840"/>
          <w:pgMar w:header="0" w:footer="948" w:top="1340" w:bottom="1140" w:left="1300" w:right="500"/>
        </w:sectPr>
      </w:pPr>
    </w:p>
    <w:p>
      <w:pPr>
        <w:pStyle w:val="Heading7"/>
        <w:spacing w:before="42"/>
        <w:ind w:left="2660"/>
        <w:rPr>
          <w:rFonts w:ascii="宋体" w:eastAsia="宋体" w:hint="eastAsia"/>
        </w:rPr>
      </w:pPr>
      <w:r>
        <w:rPr>
          <w:rFonts w:ascii="宋体" w:eastAsia="宋体" w:hint="eastAsia"/>
        </w:rPr>
        <w:t>（供参考以双方签订的最终合同为准）</w:t>
      </w:r>
    </w:p>
    <w:p>
      <w:pPr>
        <w:pStyle w:val="BodyText"/>
        <w:rPr>
          <w:sz w:val="28"/>
        </w:rPr>
      </w:pPr>
    </w:p>
    <w:p>
      <w:pPr>
        <w:pStyle w:val="BodyText"/>
        <w:spacing w:before="10"/>
        <w:rPr>
          <w:sz w:val="22"/>
        </w:rPr>
      </w:pPr>
    </w:p>
    <w:p>
      <w:pPr>
        <w:pStyle w:val="Heading9"/>
        <w:ind w:firstLine="0"/>
      </w:pPr>
      <w:r>
        <w:rPr/>
        <w:t>甲方：</w:t>
      </w:r>
      <w:r>
        <w:rPr>
          <w:u w:val="single"/>
        </w:rPr>
        <w:t>张北县大容新能源开发有限公司 </w:t>
      </w:r>
      <w:r>
        <w:rPr/>
        <w:t>（以下简称甲方）</w:t>
      </w:r>
    </w:p>
    <w:p>
      <w:pPr>
        <w:pStyle w:val="Heading9"/>
        <w:tabs>
          <w:tab w:pos="5035" w:val="left" w:leader="none"/>
        </w:tabs>
        <w:spacing w:before="161"/>
        <w:ind w:firstLine="0"/>
      </w:pPr>
      <w:r>
        <w:rPr/>
        <w:t>乙方：</w:t>
      </w:r>
      <w:r>
        <w:rPr>
          <w:u w:val="single"/>
        </w:rPr>
        <w:t> </w:t>
        <w:tab/>
      </w:r>
      <w:r>
        <w:rPr/>
        <w:t>（以下简称乙方）</w:t>
      </w:r>
    </w:p>
    <w:p>
      <w:pPr>
        <w:pStyle w:val="Heading9"/>
        <w:spacing w:before="158"/>
        <w:ind w:left="595" w:firstLine="0"/>
      </w:pPr>
      <w:r>
        <w:rPr/>
        <w:t>根据《中华人民共和国民法典》及其他有关法律、法规和规章的规定，经甲、乙</w:t>
      </w:r>
    </w:p>
    <w:p>
      <w:pPr>
        <w:pStyle w:val="Heading9"/>
        <w:spacing w:line="362" w:lineRule="auto" w:before="160"/>
        <w:ind w:right="749" w:firstLine="0"/>
      </w:pPr>
      <w:r>
        <w:rPr/>
        <w:t>双方协商，就</w:t>
      </w:r>
      <w:r>
        <w:rPr>
          <w:spacing w:val="-15"/>
          <w:u w:val="single"/>
        </w:rPr>
        <w:t>张北县 </w:t>
      </w:r>
      <w:r>
        <w:rPr>
          <w:u w:val="single"/>
        </w:rPr>
        <w:t>6.25MW</w:t>
      </w:r>
      <w:r>
        <w:rPr>
          <w:spacing w:val="-8"/>
          <w:u w:val="single"/>
        </w:rPr>
        <w:t> 村级分布式屋顶光伏电站运行维护</w:t>
      </w:r>
      <w:r>
        <w:rPr/>
        <w:t>项目，委托给乙方负责。为充分明确双方权利义务，本着平等互利、诚实信用、协商一致的原则，保证电站高</w:t>
      </w:r>
    </w:p>
    <w:p>
      <w:pPr>
        <w:spacing w:line="362" w:lineRule="auto" w:before="5"/>
        <w:ind w:left="595" w:right="7589" w:hanging="480"/>
        <w:jc w:val="left"/>
        <w:rPr>
          <w:b/>
          <w:sz w:val="24"/>
        </w:rPr>
      </w:pPr>
      <w:r>
        <w:rPr>
          <w:sz w:val="24"/>
        </w:rPr>
        <w:t>效率运行签订本合同。</w:t>
      </w:r>
      <w:r>
        <w:rPr>
          <w:b/>
          <w:sz w:val="24"/>
        </w:rPr>
        <w:t>一、 委托事项</w:t>
      </w:r>
    </w:p>
    <w:p>
      <w:pPr>
        <w:pStyle w:val="Heading9"/>
        <w:spacing w:line="364" w:lineRule="auto" w:before="5"/>
        <w:ind w:right="916"/>
        <w:jc w:val="both"/>
      </w:pPr>
      <w:r>
        <w:rPr/>
        <w:t>基于屋顶光伏电站实际情况，乙方人员承担屋顶光伏电站生产期间的生产管理、安全管理、运行及维护工作、事故处理和应急抢险工作、技术资料和生产档案建立、文明生产等方面的工作。</w:t>
      </w:r>
    </w:p>
    <w:p>
      <w:pPr>
        <w:pStyle w:val="Heading8"/>
        <w:spacing w:line="304" w:lineRule="exact"/>
      </w:pPr>
      <w:r>
        <w:rPr/>
        <w:t>二、 工作范围和工作内容</w:t>
      </w:r>
    </w:p>
    <w:p>
      <w:pPr>
        <w:pStyle w:val="Heading9"/>
        <w:numPr>
          <w:ilvl w:val="1"/>
          <w:numId w:val="45"/>
        </w:numPr>
        <w:tabs>
          <w:tab w:pos="1076" w:val="left" w:leader="none"/>
        </w:tabs>
        <w:spacing w:line="240" w:lineRule="auto" w:before="161" w:after="0"/>
        <w:ind w:left="1076" w:right="0" w:hanging="480"/>
        <w:jc w:val="left"/>
      </w:pPr>
      <w:r>
        <w:rPr/>
        <w:t>工作范围</w:t>
      </w:r>
    </w:p>
    <w:p>
      <w:pPr>
        <w:pStyle w:val="Heading9"/>
        <w:numPr>
          <w:ilvl w:val="2"/>
          <w:numId w:val="45"/>
        </w:numPr>
        <w:tabs>
          <w:tab w:pos="1316" w:val="left" w:leader="none"/>
        </w:tabs>
        <w:spacing w:line="362" w:lineRule="auto" w:before="160" w:after="0"/>
        <w:ind w:left="116" w:right="1109" w:firstLine="480"/>
        <w:jc w:val="left"/>
      </w:pPr>
      <w:r>
        <w:rPr/>
        <w:t>负责电站厂区内的发电设施、工器具、车辆、建筑物等资产的运行、维护及日常巡检管理（每个电站的巡检周期不大于20天）。</w:t>
      </w:r>
    </w:p>
    <w:p>
      <w:pPr>
        <w:pStyle w:val="Heading9"/>
        <w:numPr>
          <w:ilvl w:val="2"/>
          <w:numId w:val="45"/>
        </w:numPr>
        <w:tabs>
          <w:tab w:pos="1319" w:val="left" w:leader="none"/>
        </w:tabs>
        <w:spacing w:line="364" w:lineRule="auto" w:before="3" w:after="0"/>
        <w:ind w:left="116" w:right="913" w:firstLine="480"/>
        <w:jc w:val="left"/>
      </w:pPr>
      <w:r>
        <w:rPr/>
        <w:t>站内设备日常维护、消缺和巡视；电站与外网联接线的巡视(特别是鸟窝等对电站安全稳定运行存在隐患的因素等)。</w:t>
      </w:r>
    </w:p>
    <w:p>
      <w:pPr>
        <w:pStyle w:val="Heading9"/>
        <w:numPr>
          <w:ilvl w:val="2"/>
          <w:numId w:val="45"/>
        </w:numPr>
        <w:tabs>
          <w:tab w:pos="1324" w:val="left" w:leader="none"/>
        </w:tabs>
        <w:spacing w:line="364" w:lineRule="auto" w:before="1" w:after="0"/>
        <w:ind w:left="116" w:right="916" w:firstLine="480"/>
        <w:jc w:val="both"/>
      </w:pPr>
      <w:r>
        <w:rPr>
          <w:spacing w:val="1"/>
        </w:rPr>
        <w:t>当地发展和改革局、应急局、环保局、消防队的监督，气象局的防雷接地检测、相关单位进行站内高、低压设备的定期检修、试验预试、当地电网公司完成配套输电工程的运行、维护和日常管理、政府相关职能部门的检查活动等协调、配合工作；</w:t>
      </w:r>
    </w:p>
    <w:p>
      <w:pPr>
        <w:pStyle w:val="Heading9"/>
        <w:numPr>
          <w:ilvl w:val="2"/>
          <w:numId w:val="45"/>
        </w:numPr>
        <w:tabs>
          <w:tab w:pos="1316" w:val="left" w:leader="none"/>
        </w:tabs>
        <w:spacing w:line="305" w:lineRule="exact" w:before="0" w:after="0"/>
        <w:ind w:left="116" w:right="0" w:firstLine="480"/>
        <w:jc w:val="left"/>
      </w:pPr>
      <w:r>
        <w:rPr/>
        <w:t>光伏组件清洗：每年至少春秋各一次。</w:t>
      </w:r>
    </w:p>
    <w:p>
      <w:pPr>
        <w:pStyle w:val="Heading9"/>
        <w:numPr>
          <w:ilvl w:val="2"/>
          <w:numId w:val="45"/>
        </w:numPr>
        <w:tabs>
          <w:tab w:pos="1256" w:val="left" w:leader="none"/>
        </w:tabs>
        <w:spacing w:line="364" w:lineRule="auto" w:before="158" w:after="0"/>
        <w:ind w:left="116" w:right="689" w:firstLine="480"/>
        <w:jc w:val="left"/>
      </w:pPr>
      <w:r>
        <w:rPr/>
        <w:t>安措用品：安全工器具、工器具的补充、采购、检测，消防物资采购，防洪、防寒物资、劳保用品等。</w:t>
      </w:r>
    </w:p>
    <w:p>
      <w:pPr>
        <w:pStyle w:val="Heading9"/>
        <w:numPr>
          <w:ilvl w:val="2"/>
          <w:numId w:val="45"/>
        </w:numPr>
        <w:tabs>
          <w:tab w:pos="1316" w:val="left" w:leader="none"/>
        </w:tabs>
        <w:spacing w:line="364" w:lineRule="auto" w:before="0" w:after="0"/>
        <w:ind w:left="116" w:right="917" w:firstLine="480"/>
        <w:jc w:val="left"/>
      </w:pPr>
      <w:r>
        <w:rPr>
          <w:spacing w:val="-12"/>
        </w:rPr>
        <w:t>甲方采购 </w:t>
      </w:r>
      <w:r>
        <w:rPr/>
        <w:t>1000</w:t>
      </w:r>
      <w:r>
        <w:rPr>
          <w:spacing w:val="-8"/>
        </w:rPr>
        <w:t> 元以上的备件、</w:t>
      </w:r>
      <w:r>
        <w:rPr/>
        <w:t>1000</w:t>
      </w:r>
      <w:r>
        <w:rPr>
          <w:spacing w:val="-8"/>
        </w:rPr>
        <w:t> 元以下的易耗品由乙方提供，乙方必须向甲方报备备件和易损品清单。</w:t>
      </w:r>
    </w:p>
    <w:p>
      <w:pPr>
        <w:pStyle w:val="Heading9"/>
        <w:numPr>
          <w:ilvl w:val="2"/>
          <w:numId w:val="45"/>
        </w:numPr>
        <w:tabs>
          <w:tab w:pos="1256" w:val="left" w:leader="none"/>
        </w:tabs>
        <w:spacing w:line="306" w:lineRule="exact" w:before="0" w:after="0"/>
        <w:ind w:left="1256" w:right="0" w:hanging="660"/>
        <w:jc w:val="left"/>
      </w:pPr>
      <w:r>
        <w:rPr/>
        <w:t>安全工器具配置及检测由乙方负担；</w:t>
      </w:r>
    </w:p>
    <w:p>
      <w:pPr>
        <w:pStyle w:val="Heading9"/>
        <w:numPr>
          <w:ilvl w:val="2"/>
          <w:numId w:val="45"/>
        </w:numPr>
        <w:tabs>
          <w:tab w:pos="1256" w:val="left" w:leader="none"/>
        </w:tabs>
        <w:spacing w:line="240" w:lineRule="auto" w:before="159" w:after="0"/>
        <w:ind w:left="1256" w:right="0" w:hanging="660"/>
        <w:jc w:val="left"/>
      </w:pPr>
      <w:r>
        <w:rPr/>
        <w:t>光伏电站占地区域每年除草一次。</w:t>
      </w:r>
    </w:p>
    <w:p>
      <w:pPr>
        <w:pStyle w:val="Heading9"/>
        <w:spacing w:before="161"/>
        <w:ind w:left="595" w:firstLine="0"/>
      </w:pPr>
      <w:r>
        <w:rPr/>
        <w:t>2.2 工作内容</w:t>
      </w:r>
    </w:p>
    <w:p>
      <w:pPr>
        <w:spacing w:after="0"/>
        <w:sectPr>
          <w:footerReference w:type="default" r:id="rId24"/>
          <w:pgSz w:w="11910" w:h="16840"/>
          <w:pgMar w:footer="770" w:header="0" w:top="1360" w:bottom="960" w:left="1300" w:right="500"/>
          <w:pgNumType w:start="37"/>
        </w:sectPr>
      </w:pPr>
    </w:p>
    <w:p>
      <w:pPr>
        <w:pStyle w:val="Heading9"/>
        <w:spacing w:before="41"/>
        <w:ind w:left="595" w:firstLine="0"/>
      </w:pPr>
      <w:r>
        <w:rPr/>
        <w:t>根据光伏电站的运行要求，乙方负责以下电站运行维护等工作。</w:t>
      </w:r>
    </w:p>
    <w:p>
      <w:pPr>
        <w:pStyle w:val="Heading9"/>
        <w:numPr>
          <w:ilvl w:val="0"/>
          <w:numId w:val="46"/>
        </w:numPr>
        <w:tabs>
          <w:tab w:pos="959" w:val="left" w:leader="none"/>
        </w:tabs>
        <w:spacing w:line="364" w:lineRule="auto" w:before="158" w:after="0"/>
        <w:ind w:left="116" w:right="916" w:firstLine="480"/>
        <w:jc w:val="left"/>
      </w:pPr>
      <w:r>
        <w:rPr/>
        <w:t>乙方负责完成本合同所规定的所有工作内容。（包括但不限于：只要是对提高电站安全、运行效率有力的，本合同未提及的工作内容，乙方应无偿履行。）</w:t>
      </w:r>
    </w:p>
    <w:p>
      <w:pPr>
        <w:pStyle w:val="Heading9"/>
        <w:numPr>
          <w:ilvl w:val="0"/>
          <w:numId w:val="46"/>
        </w:numPr>
        <w:tabs>
          <w:tab w:pos="959" w:val="left" w:leader="none"/>
        </w:tabs>
        <w:spacing w:line="364" w:lineRule="auto" w:before="0" w:after="0"/>
        <w:ind w:left="116" w:right="916" w:firstLine="480"/>
        <w:jc w:val="left"/>
      </w:pPr>
      <w:r>
        <w:rPr/>
        <w:t>乙方负责实施电站安全生产管理、员工教育培训；建立安全管理制度、应急预案、双控等相关部门需要的检查的制度工作，并建立向甲方日报和台账留存制度。</w:t>
      </w:r>
    </w:p>
    <w:p>
      <w:pPr>
        <w:pStyle w:val="Heading9"/>
        <w:numPr>
          <w:ilvl w:val="0"/>
          <w:numId w:val="46"/>
        </w:numPr>
        <w:tabs>
          <w:tab w:pos="959" w:val="left" w:leader="none"/>
        </w:tabs>
        <w:spacing w:line="364" w:lineRule="auto" w:before="0" w:after="0"/>
        <w:ind w:left="116" w:right="916" w:firstLine="480"/>
        <w:jc w:val="both"/>
      </w:pPr>
      <w:r>
        <w:rPr/>
        <w:t>电站设备设施技术升级及改造工作。a.因设备或施工质量造成的设备设施技术</w:t>
      </w:r>
      <w:r>
        <w:rPr>
          <w:spacing w:val="2"/>
        </w:rPr>
        <w:t>升级及改造工作。所产生的费用由甲方承担。</w:t>
      </w:r>
      <w:r>
        <w:rPr/>
        <w:t>b</w:t>
      </w:r>
      <w:r>
        <w:rPr>
          <w:spacing w:val="0"/>
        </w:rPr>
        <w:t>.因甲方或电网公司书面要求对电站设备设施技术升级及改造的，经甲方书面许可后负责实施。</w:t>
      </w:r>
    </w:p>
    <w:p>
      <w:pPr>
        <w:pStyle w:val="Heading9"/>
        <w:numPr>
          <w:ilvl w:val="0"/>
          <w:numId w:val="46"/>
        </w:numPr>
        <w:tabs>
          <w:tab w:pos="961" w:val="left" w:leader="none"/>
        </w:tabs>
        <w:spacing w:line="364" w:lineRule="auto" w:before="0" w:after="0"/>
        <w:ind w:left="116" w:right="917" w:firstLine="480"/>
        <w:jc w:val="both"/>
      </w:pPr>
      <w:r>
        <w:rPr>
          <w:spacing w:val="1"/>
        </w:rPr>
        <w:t>场地看护和巡逻、光伏板清扫、场地除草等日常维护工作;电站运行监测、设</w:t>
      </w:r>
      <w:r>
        <w:rPr/>
        <w:t>备定期专业巡查、设备检查和检测、设备更新(换)和安全管理等专业检修运维工作;电站数据采集装置运维做到可在移动端随时查看电站运行情况;每周至少进行一次电站安全、运行质量检查、隐患故障排除工作;建立科学的、可量化的评价指标体系，及时排除设备故障和隐患。</w:t>
      </w:r>
    </w:p>
    <w:p>
      <w:pPr>
        <w:pStyle w:val="Heading9"/>
        <w:numPr>
          <w:ilvl w:val="0"/>
          <w:numId w:val="46"/>
        </w:numPr>
        <w:tabs>
          <w:tab w:pos="959" w:val="left" w:leader="none"/>
        </w:tabs>
        <w:spacing w:line="362" w:lineRule="auto" w:before="0" w:after="0"/>
        <w:ind w:left="116" w:right="916" w:firstLine="480"/>
        <w:jc w:val="left"/>
      </w:pPr>
      <w:r>
        <w:rPr/>
        <w:t>为提高设备利用率，提升发电量，乙方负责电站日常检修维护所需的备品备件和消耗性材料保管及及时编制补充计划报呈甲方。</w:t>
      </w:r>
    </w:p>
    <w:p>
      <w:pPr>
        <w:pStyle w:val="Heading9"/>
        <w:numPr>
          <w:ilvl w:val="0"/>
          <w:numId w:val="46"/>
        </w:numPr>
        <w:tabs>
          <w:tab w:pos="956" w:val="left" w:leader="none"/>
        </w:tabs>
        <w:spacing w:line="362" w:lineRule="auto" w:before="0" w:after="0"/>
        <w:ind w:left="116" w:right="749" w:firstLine="480"/>
        <w:jc w:val="left"/>
      </w:pPr>
      <w:r>
        <w:rPr/>
        <w:t>根据电站实际需要或上级部门要求，上报增加的临时性加装设备或项目给甲方， 经甲方同意后再进行实施。</w:t>
      </w:r>
    </w:p>
    <w:p>
      <w:pPr>
        <w:pStyle w:val="Heading9"/>
        <w:numPr>
          <w:ilvl w:val="0"/>
          <w:numId w:val="46"/>
        </w:numPr>
        <w:tabs>
          <w:tab w:pos="961" w:val="left" w:leader="none"/>
        </w:tabs>
        <w:spacing w:line="364" w:lineRule="auto" w:before="3" w:after="0"/>
        <w:ind w:left="116" w:right="916" w:firstLine="480"/>
        <w:jc w:val="left"/>
      </w:pPr>
      <w:r>
        <w:rPr>
          <w:spacing w:val="-13"/>
        </w:rPr>
        <w:t>以上 </w:t>
      </w:r>
      <w:r>
        <w:rPr>
          <w:spacing w:val="5"/>
        </w:rPr>
        <w:t>3</w:t>
      </w:r>
      <w:r>
        <w:rPr>
          <w:spacing w:val="2"/>
        </w:rPr>
        <w:t>、</w:t>
      </w:r>
      <w:r>
        <w:rPr/>
        <w:t>6</w:t>
      </w:r>
      <w:r>
        <w:rPr>
          <w:spacing w:val="-3"/>
        </w:rPr>
        <w:t> 项项目改造、加装过程中所产生的的配件设备费用由甲方承担，运输安装费用由乙方承担。</w:t>
      </w:r>
    </w:p>
    <w:p>
      <w:pPr>
        <w:pStyle w:val="Heading8"/>
        <w:spacing w:before="1"/>
      </w:pPr>
      <w:r>
        <w:rPr/>
        <w:t>三、 运维期限</w:t>
      </w:r>
    </w:p>
    <w:p>
      <w:pPr>
        <w:pStyle w:val="Heading9"/>
        <w:numPr>
          <w:ilvl w:val="1"/>
          <w:numId w:val="47"/>
        </w:numPr>
        <w:tabs>
          <w:tab w:pos="1076" w:val="left" w:leader="none"/>
          <w:tab w:pos="3475" w:val="left" w:leader="none"/>
          <w:tab w:pos="4915" w:val="left" w:leader="none"/>
          <w:tab w:pos="5755" w:val="left" w:leader="none"/>
          <w:tab w:pos="6595" w:val="left" w:leader="none"/>
          <w:tab w:pos="8035" w:val="left" w:leader="none"/>
          <w:tab w:pos="8695" w:val="left" w:leader="none"/>
        </w:tabs>
        <w:spacing w:line="240" w:lineRule="auto" w:before="158" w:after="0"/>
        <w:ind w:left="116" w:right="0" w:firstLine="480"/>
        <w:jc w:val="left"/>
        <w:rPr>
          <w:rFonts w:ascii="Times New Roman" w:eastAsia="Times New Roman"/>
        </w:rPr>
      </w:pPr>
      <w:r>
        <w:rPr/>
        <w:t>本合同运维期为</w:t>
      </w:r>
      <w:r>
        <w:rPr>
          <w:u w:val="single"/>
        </w:rPr>
        <w:t> </w:t>
        <w:tab/>
      </w:r>
      <w:r>
        <w:rPr/>
        <w:t>年， 即</w:t>
      </w:r>
      <w:r>
        <w:rPr>
          <w:u w:val="single"/>
        </w:rPr>
        <w:t> </w:t>
        <w:tab/>
      </w:r>
      <w:r>
        <w:rPr/>
        <w:t>年</w:t>
      </w:r>
      <w:r>
        <w:rPr>
          <w:u w:val="single"/>
        </w:rPr>
        <w:t> </w:t>
        <w:tab/>
      </w:r>
      <w:r>
        <w:rPr/>
        <w:t>月</w:t>
      </w:r>
      <w:r>
        <w:rPr>
          <w:u w:val="single"/>
        </w:rPr>
        <w:t> </w:t>
        <w:tab/>
      </w:r>
      <w:r>
        <w:rPr/>
        <w:t>日起至</w:t>
      </w:r>
      <w:r>
        <w:rPr>
          <w:u w:val="single"/>
        </w:rPr>
        <w:t> </w:t>
        <w:tab/>
      </w:r>
      <w:r>
        <w:rPr/>
        <w:t>年</w:t>
      </w:r>
      <w:r>
        <w:rPr>
          <w:rFonts w:ascii="Times New Roman" w:eastAsia="Times New Roman"/>
          <w:u w:val="single"/>
        </w:rPr>
        <w:t> </w:t>
        <w:tab/>
      </w:r>
    </w:p>
    <w:p>
      <w:pPr>
        <w:pStyle w:val="Heading9"/>
        <w:tabs>
          <w:tab w:pos="955" w:val="left" w:leader="none"/>
        </w:tabs>
        <w:spacing w:before="161"/>
        <w:ind w:firstLine="0"/>
      </w:pPr>
      <w:r>
        <w:rPr>
          <w:rFonts w:ascii="Times New Roman" w:eastAsia="Times New Roman"/>
          <w:u w:val="single"/>
        </w:rPr>
        <w:t>  </w:t>
      </w:r>
      <w:r>
        <w:rPr/>
        <w:t>月</w:t>
      </w:r>
      <w:r>
        <w:rPr>
          <w:u w:val="single"/>
        </w:rPr>
        <w:t> </w:t>
        <w:tab/>
      </w:r>
      <w:r>
        <w:rPr/>
        <w:t>日止。</w:t>
      </w:r>
    </w:p>
    <w:p>
      <w:pPr>
        <w:pStyle w:val="Heading9"/>
        <w:numPr>
          <w:ilvl w:val="1"/>
          <w:numId w:val="47"/>
        </w:numPr>
        <w:tabs>
          <w:tab w:pos="1081" w:val="left" w:leader="none"/>
        </w:tabs>
        <w:spacing w:line="364" w:lineRule="auto" w:before="158" w:after="0"/>
        <w:ind w:left="116" w:right="916" w:firstLine="480"/>
        <w:jc w:val="both"/>
      </w:pPr>
      <w:r>
        <w:rPr>
          <w:spacing w:val="0"/>
        </w:rPr>
        <w:t>乙方未按合同保证“基准发电小时数”，所产生的电价损失从运维费用中扣</w:t>
      </w:r>
      <w:r>
        <w:rPr>
          <w:spacing w:val="2"/>
        </w:rPr>
        <w:t>除。核算公式：总装机量×（“基准发电小时数”一实际发电小时数）×电价</w:t>
      </w:r>
      <w:r>
        <w:rPr>
          <w:spacing w:val="5"/>
        </w:rPr>
        <w:t>（</w:t>
      </w:r>
      <w:r>
        <w:rPr>
          <w:spacing w:val="0"/>
        </w:rPr>
        <w:t>首年之后屋顶光伏电站发电目标跟随组件功率质保的衰减系数折减）</w:t>
      </w:r>
    </w:p>
    <w:p>
      <w:pPr>
        <w:pStyle w:val="Heading8"/>
        <w:spacing w:line="307" w:lineRule="exact"/>
      </w:pPr>
      <w:r>
        <w:rPr/>
        <w:t>四、 双方的权利与义务</w:t>
      </w:r>
    </w:p>
    <w:p>
      <w:pPr>
        <w:pStyle w:val="Heading9"/>
        <w:numPr>
          <w:ilvl w:val="1"/>
          <w:numId w:val="48"/>
        </w:numPr>
        <w:tabs>
          <w:tab w:pos="1076" w:val="left" w:leader="none"/>
        </w:tabs>
        <w:spacing w:line="240" w:lineRule="auto" w:before="158" w:after="0"/>
        <w:ind w:left="1076" w:right="0" w:hanging="480"/>
        <w:jc w:val="left"/>
      </w:pPr>
      <w:r>
        <w:rPr/>
        <w:t>甲方的义务</w:t>
      </w:r>
    </w:p>
    <w:p>
      <w:pPr>
        <w:pStyle w:val="Heading9"/>
        <w:numPr>
          <w:ilvl w:val="2"/>
          <w:numId w:val="48"/>
        </w:numPr>
        <w:tabs>
          <w:tab w:pos="1316" w:val="left" w:leader="none"/>
        </w:tabs>
        <w:spacing w:line="362" w:lineRule="auto" w:before="160" w:after="0"/>
        <w:ind w:left="116" w:right="1109" w:firstLine="480"/>
        <w:jc w:val="left"/>
      </w:pPr>
      <w:r>
        <w:rPr/>
        <w:t>为给乙方提供准确、可靠的后台检测平台，保证场区数据、视频传输通道线路的畅通，在乙方精心维护的前提下，甲方有义务为乙方协调相关部门。</w:t>
      </w:r>
    </w:p>
    <w:p>
      <w:pPr>
        <w:pStyle w:val="Heading9"/>
        <w:numPr>
          <w:ilvl w:val="2"/>
          <w:numId w:val="48"/>
        </w:numPr>
        <w:tabs>
          <w:tab w:pos="1316" w:val="left" w:leader="none"/>
        </w:tabs>
        <w:spacing w:line="240" w:lineRule="auto" w:before="5" w:after="0"/>
        <w:ind w:left="116" w:right="0" w:firstLine="480"/>
        <w:jc w:val="left"/>
      </w:pPr>
      <w:r>
        <w:rPr/>
        <w:t>按照合同约定按时进行运维费用的结算。</w:t>
      </w:r>
    </w:p>
    <w:p>
      <w:pPr>
        <w:spacing w:after="0" w:line="240" w:lineRule="auto"/>
        <w:jc w:val="left"/>
        <w:sectPr>
          <w:pgSz w:w="11910" w:h="16840"/>
          <w:pgMar w:header="0" w:footer="770" w:top="1360" w:bottom="960" w:left="1300" w:right="500"/>
        </w:sectPr>
      </w:pPr>
    </w:p>
    <w:p>
      <w:pPr>
        <w:pStyle w:val="Heading9"/>
        <w:numPr>
          <w:ilvl w:val="1"/>
          <w:numId w:val="49"/>
        </w:numPr>
        <w:tabs>
          <w:tab w:pos="1076" w:val="left" w:leader="none"/>
        </w:tabs>
        <w:spacing w:line="240" w:lineRule="auto" w:before="41" w:after="0"/>
        <w:ind w:left="1076" w:right="0" w:hanging="480"/>
        <w:jc w:val="left"/>
      </w:pPr>
      <w:r>
        <w:rPr/>
        <w:t>甲方的权利</w:t>
      </w:r>
    </w:p>
    <w:p>
      <w:pPr>
        <w:pStyle w:val="Heading9"/>
        <w:numPr>
          <w:ilvl w:val="2"/>
          <w:numId w:val="49"/>
        </w:numPr>
        <w:tabs>
          <w:tab w:pos="1316" w:val="left" w:leader="none"/>
        </w:tabs>
        <w:spacing w:line="240" w:lineRule="auto" w:before="158" w:after="0"/>
        <w:ind w:left="116" w:right="0" w:firstLine="480"/>
        <w:jc w:val="left"/>
      </w:pPr>
      <w:r>
        <w:rPr/>
        <w:t>甲方对于电站运行维护过程中形成的资产享有所有权。包括由甲方直接付</w:t>
      </w:r>
    </w:p>
    <w:p>
      <w:pPr>
        <w:pStyle w:val="Heading9"/>
        <w:spacing w:before="161"/>
        <w:ind w:firstLine="0"/>
      </w:pPr>
      <w:r>
        <w:rPr/>
        <w:t>费购买的供乙方完成本合同委托事务而形成的各类有形资产和无形资产均归甲方所有。</w:t>
      </w:r>
    </w:p>
    <w:p>
      <w:pPr>
        <w:pStyle w:val="Heading9"/>
        <w:numPr>
          <w:ilvl w:val="2"/>
          <w:numId w:val="49"/>
        </w:numPr>
        <w:tabs>
          <w:tab w:pos="1316" w:val="left" w:leader="none"/>
        </w:tabs>
        <w:spacing w:line="364" w:lineRule="auto" w:before="158" w:after="0"/>
        <w:ind w:left="116" w:right="1109" w:firstLine="480"/>
        <w:jc w:val="left"/>
      </w:pPr>
      <w:r>
        <w:rPr/>
        <w:t>甲方有权指派人员不定时进入电站的运维团队并参与电站运维、资产安保等相关工作并对乙方运维工作进行监督，乙方应积极配合并接受甲方工作监督。</w:t>
      </w:r>
    </w:p>
    <w:p>
      <w:pPr>
        <w:pStyle w:val="Heading9"/>
        <w:numPr>
          <w:ilvl w:val="2"/>
          <w:numId w:val="49"/>
        </w:numPr>
        <w:tabs>
          <w:tab w:pos="1316" w:val="left" w:leader="none"/>
        </w:tabs>
        <w:spacing w:line="306" w:lineRule="exact" w:before="0" w:after="0"/>
        <w:ind w:left="116" w:right="0" w:firstLine="480"/>
        <w:jc w:val="left"/>
      </w:pPr>
      <w:r>
        <w:rPr/>
        <w:t>甲方有权审批乙方年度运维方案及运维计划，并提出修改意见。</w:t>
      </w:r>
    </w:p>
    <w:p>
      <w:pPr>
        <w:pStyle w:val="Heading9"/>
        <w:numPr>
          <w:ilvl w:val="2"/>
          <w:numId w:val="49"/>
        </w:numPr>
        <w:tabs>
          <w:tab w:pos="1316" w:val="left" w:leader="none"/>
        </w:tabs>
        <w:spacing w:line="240" w:lineRule="auto" w:before="160" w:after="0"/>
        <w:ind w:left="116" w:right="0" w:firstLine="480"/>
        <w:jc w:val="left"/>
      </w:pPr>
      <w:r>
        <w:rPr/>
        <w:t>甲方有权决定合同期间电站财产保险购买的险种、保险期限。</w:t>
      </w:r>
    </w:p>
    <w:p>
      <w:pPr>
        <w:pStyle w:val="Heading9"/>
        <w:numPr>
          <w:ilvl w:val="1"/>
          <w:numId w:val="49"/>
        </w:numPr>
        <w:tabs>
          <w:tab w:pos="1076" w:val="left" w:leader="none"/>
        </w:tabs>
        <w:spacing w:line="240" w:lineRule="auto" w:before="158" w:after="0"/>
        <w:ind w:left="1076" w:right="0" w:hanging="480"/>
        <w:jc w:val="left"/>
      </w:pPr>
      <w:r>
        <w:rPr/>
        <w:t>乙方的义务</w:t>
      </w:r>
    </w:p>
    <w:p>
      <w:pPr>
        <w:pStyle w:val="Heading9"/>
        <w:numPr>
          <w:ilvl w:val="2"/>
          <w:numId w:val="49"/>
        </w:numPr>
        <w:tabs>
          <w:tab w:pos="1316" w:val="left" w:leader="none"/>
        </w:tabs>
        <w:spacing w:line="240" w:lineRule="auto" w:before="161" w:after="0"/>
        <w:ind w:left="1316" w:right="0" w:hanging="720"/>
        <w:jc w:val="left"/>
      </w:pPr>
      <w:r>
        <w:rPr/>
        <w:t>乙方的运维管理义务</w:t>
      </w:r>
    </w:p>
    <w:p>
      <w:pPr>
        <w:pStyle w:val="Heading9"/>
        <w:numPr>
          <w:ilvl w:val="0"/>
          <w:numId w:val="50"/>
        </w:numPr>
        <w:tabs>
          <w:tab w:pos="1316" w:val="left" w:leader="none"/>
        </w:tabs>
        <w:spacing w:line="364" w:lineRule="auto" w:before="158" w:after="0"/>
        <w:ind w:left="116" w:right="1109" w:firstLine="480"/>
        <w:jc w:val="both"/>
      </w:pPr>
      <w:r>
        <w:rPr/>
        <w:t>乙方应严格依照《中华人民共和国电力法》、《电力监管条例》、《电网运行规则》、《电网调度管理条例》、《变电站管理规范》、《架空输电线路管理规范》等法律、法规、规范性文件和行业规范，对电站进行相应的运行维护管理工作。</w:t>
      </w:r>
    </w:p>
    <w:p>
      <w:pPr>
        <w:pStyle w:val="Heading9"/>
        <w:numPr>
          <w:ilvl w:val="0"/>
          <w:numId w:val="50"/>
        </w:numPr>
        <w:tabs>
          <w:tab w:pos="1316" w:val="left" w:leader="none"/>
        </w:tabs>
        <w:spacing w:line="364" w:lineRule="auto" w:before="0" w:after="0"/>
        <w:ind w:left="116" w:right="1109" w:firstLine="480"/>
        <w:jc w:val="left"/>
      </w:pPr>
      <w:r>
        <w:rPr/>
        <w:t>乙方应制定电站的现场运行规程和检修规程。遇有设备设施变动时，应及时修订现场运行规程和检修规程。</w:t>
      </w:r>
    </w:p>
    <w:p>
      <w:pPr>
        <w:pStyle w:val="Heading9"/>
        <w:numPr>
          <w:ilvl w:val="0"/>
          <w:numId w:val="50"/>
        </w:numPr>
        <w:tabs>
          <w:tab w:pos="1316" w:val="left" w:leader="none"/>
        </w:tabs>
        <w:spacing w:line="364" w:lineRule="auto" w:before="0" w:after="0"/>
        <w:ind w:left="116" w:right="1109" w:firstLine="480"/>
        <w:jc w:val="left"/>
      </w:pPr>
      <w:r>
        <w:rPr/>
        <w:t>乙方应建立健全电站的技术档案管理，包括日常维护日志、发电报表、电站排障、重大缺陷和事故情况等记录。</w:t>
      </w:r>
    </w:p>
    <w:p>
      <w:pPr>
        <w:pStyle w:val="Heading9"/>
        <w:numPr>
          <w:ilvl w:val="0"/>
          <w:numId w:val="50"/>
        </w:numPr>
        <w:tabs>
          <w:tab w:pos="1316" w:val="left" w:leader="none"/>
        </w:tabs>
        <w:spacing w:line="362" w:lineRule="auto" w:before="0" w:after="0"/>
        <w:ind w:left="116" w:right="1109" w:firstLine="480"/>
        <w:jc w:val="left"/>
      </w:pPr>
      <w:r>
        <w:rPr/>
        <w:t>乙方负责电站的技术监督工作，对设备状况及时做出评估，分析存在的问题并提出改进意见和建议。</w:t>
      </w:r>
    </w:p>
    <w:p>
      <w:pPr>
        <w:pStyle w:val="Heading9"/>
        <w:numPr>
          <w:ilvl w:val="0"/>
          <w:numId w:val="50"/>
        </w:numPr>
        <w:tabs>
          <w:tab w:pos="1316" w:val="left" w:leader="none"/>
        </w:tabs>
        <w:spacing w:line="364" w:lineRule="auto" w:before="2" w:after="0"/>
        <w:ind w:left="116" w:right="1109" w:firstLine="480"/>
        <w:jc w:val="left"/>
      </w:pPr>
      <w:r>
        <w:rPr/>
        <w:t>乙方应加强设备缺陷管理，按设备缺陷的严重程度进行分类，做好记录， 并及时进行消缺处理。</w:t>
      </w:r>
    </w:p>
    <w:p>
      <w:pPr>
        <w:pStyle w:val="Heading9"/>
        <w:numPr>
          <w:ilvl w:val="0"/>
          <w:numId w:val="50"/>
        </w:numPr>
        <w:tabs>
          <w:tab w:pos="1316" w:val="left" w:leader="none"/>
        </w:tabs>
        <w:spacing w:line="364" w:lineRule="auto" w:before="0" w:after="0"/>
        <w:ind w:left="116" w:right="1109" w:firstLine="480"/>
        <w:jc w:val="left"/>
      </w:pPr>
      <w:r>
        <w:rPr/>
        <w:t>乙方负责测算运维合同范围内电站的运行管理费用，负责编制检修、临购等计划或方案，及时做好各类资金支付申请，并报送曱方审查。</w:t>
      </w:r>
    </w:p>
    <w:p>
      <w:pPr>
        <w:pStyle w:val="Heading9"/>
        <w:numPr>
          <w:ilvl w:val="0"/>
          <w:numId w:val="50"/>
        </w:numPr>
        <w:tabs>
          <w:tab w:pos="1316" w:val="left" w:leader="none"/>
        </w:tabs>
        <w:spacing w:line="364" w:lineRule="auto" w:before="0" w:after="0"/>
        <w:ind w:left="116" w:right="1109" w:firstLine="480"/>
        <w:jc w:val="both"/>
      </w:pPr>
      <w:r>
        <w:rPr/>
        <w:t>乙方负责协助甲方与保险公司洽谈投保事宜，当发生电站损坏等事故时， 乙方应第一时间通知甲方和政府有关管辖部门，并负责做好抢险、现场取证、索赔资料收集，协助甲方进行索赔谈判事宣。</w:t>
      </w:r>
    </w:p>
    <w:p>
      <w:pPr>
        <w:pStyle w:val="Heading9"/>
        <w:spacing w:line="307" w:lineRule="exact"/>
        <w:ind w:left="595" w:firstLine="0"/>
      </w:pPr>
      <w:r>
        <w:rPr/>
        <w:t>（8）无条件配合甲方的检查、监督和指导。</w:t>
      </w:r>
    </w:p>
    <w:p>
      <w:pPr>
        <w:pStyle w:val="Heading9"/>
        <w:spacing w:line="242" w:lineRule="auto" w:before="156"/>
        <w:ind w:right="989"/>
      </w:pPr>
      <w:r>
        <w:rPr/>
        <w:t>（9）乙方必须配齐足够使电站正常运维、故障诊断及时维修的设备、车辆及专业运维人员。</w:t>
      </w:r>
    </w:p>
    <w:p>
      <w:pPr>
        <w:pStyle w:val="Heading9"/>
        <w:numPr>
          <w:ilvl w:val="1"/>
          <w:numId w:val="51"/>
        </w:numPr>
        <w:tabs>
          <w:tab w:pos="1076" w:val="left" w:leader="none"/>
        </w:tabs>
        <w:spacing w:line="240" w:lineRule="auto" w:before="3" w:after="0"/>
        <w:ind w:left="1076" w:right="0" w:hanging="480"/>
        <w:jc w:val="left"/>
      </w:pPr>
      <w:r>
        <w:rPr/>
        <w:t>乙方的安全管理义务</w:t>
      </w:r>
    </w:p>
    <w:p>
      <w:pPr>
        <w:pStyle w:val="Heading9"/>
        <w:numPr>
          <w:ilvl w:val="0"/>
          <w:numId w:val="52"/>
        </w:numPr>
        <w:tabs>
          <w:tab w:pos="1316" w:val="left" w:leader="none"/>
        </w:tabs>
        <w:spacing w:line="240" w:lineRule="auto" w:before="158" w:after="0"/>
        <w:ind w:left="116" w:right="0" w:firstLine="480"/>
        <w:jc w:val="left"/>
      </w:pPr>
      <w:r>
        <w:rPr/>
        <w:t>乙方是电站安全运行维护的责任单位。</w:t>
      </w:r>
    </w:p>
    <w:p>
      <w:pPr>
        <w:spacing w:after="0" w:line="240" w:lineRule="auto"/>
        <w:jc w:val="left"/>
        <w:sectPr>
          <w:pgSz w:w="11910" w:h="16840"/>
          <w:pgMar w:header="0" w:footer="770" w:top="1360" w:bottom="960" w:left="1300" w:right="500"/>
        </w:sectPr>
      </w:pPr>
    </w:p>
    <w:p>
      <w:pPr>
        <w:pStyle w:val="Heading9"/>
        <w:numPr>
          <w:ilvl w:val="0"/>
          <w:numId w:val="52"/>
        </w:numPr>
        <w:tabs>
          <w:tab w:pos="1316" w:val="left" w:leader="none"/>
        </w:tabs>
        <w:spacing w:line="362" w:lineRule="auto" w:before="41" w:after="0"/>
        <w:ind w:left="116" w:right="1109" w:firstLine="480"/>
        <w:jc w:val="both"/>
      </w:pPr>
      <w:r>
        <w:rPr/>
        <w:t>乙方负责电站运行维护、修理、消缺和事故的统计、填报，落实安全生产责任制，做好各项运行维护工作。</w:t>
      </w:r>
    </w:p>
    <w:p>
      <w:pPr>
        <w:pStyle w:val="Heading9"/>
        <w:numPr>
          <w:ilvl w:val="0"/>
          <w:numId w:val="52"/>
        </w:numPr>
        <w:tabs>
          <w:tab w:pos="1316" w:val="left" w:leader="none"/>
        </w:tabs>
        <w:spacing w:line="362" w:lineRule="auto" w:before="5" w:after="0"/>
        <w:ind w:left="116" w:right="1109" w:firstLine="480"/>
        <w:jc w:val="both"/>
      </w:pPr>
      <w:r>
        <w:rPr/>
        <w:t>乙方应建立以安全生产责任制为核心的安全管理制度，并按照有关规定， 加强安全管理的例行工作，使安全管理工作落到实处。</w:t>
      </w:r>
    </w:p>
    <w:p>
      <w:pPr>
        <w:pStyle w:val="Heading9"/>
        <w:numPr>
          <w:ilvl w:val="0"/>
          <w:numId w:val="52"/>
        </w:numPr>
        <w:tabs>
          <w:tab w:pos="1316" w:val="left" w:leader="none"/>
        </w:tabs>
        <w:spacing w:line="362" w:lineRule="auto" w:before="5" w:after="0"/>
        <w:ind w:left="116" w:right="1109" w:firstLine="480"/>
        <w:jc w:val="both"/>
      </w:pPr>
      <w:r>
        <w:rPr/>
        <w:t>乙方严格执行上岗培训制度，加强职工安全教育培训和考核，定期进行安全生产检查。乙方培训时不得以任何理由不同意甲方人员一起培训。</w:t>
      </w:r>
    </w:p>
    <w:p>
      <w:pPr>
        <w:pStyle w:val="Heading9"/>
        <w:numPr>
          <w:ilvl w:val="0"/>
          <w:numId w:val="52"/>
        </w:numPr>
        <w:tabs>
          <w:tab w:pos="1316" w:val="left" w:leader="none"/>
        </w:tabs>
        <w:spacing w:line="364" w:lineRule="auto" w:before="5" w:after="0"/>
        <w:ind w:left="116" w:right="1109" w:firstLine="480"/>
        <w:jc w:val="both"/>
      </w:pPr>
      <w:r>
        <w:rPr/>
        <w:t>乙方在合同期间必须为其现场工作人员购买人身保险。运维期间出现的车辆、人员伤亡事故由乙方承担；但乙方必须全力配合甲方及相关部门对事故的调查取证工作，同时乙方必须向甲方出具客观实际的调查报告。</w:t>
      </w:r>
    </w:p>
    <w:p>
      <w:pPr>
        <w:pStyle w:val="Heading9"/>
        <w:numPr>
          <w:ilvl w:val="1"/>
          <w:numId w:val="51"/>
        </w:numPr>
        <w:tabs>
          <w:tab w:pos="1076" w:val="left" w:leader="none"/>
        </w:tabs>
        <w:spacing w:line="305" w:lineRule="exact" w:before="0" w:after="0"/>
        <w:ind w:left="1076" w:right="0" w:hanging="480"/>
        <w:jc w:val="left"/>
      </w:pPr>
      <w:r>
        <w:rPr/>
        <w:t>乙方的检修管理义务</w:t>
      </w:r>
    </w:p>
    <w:p>
      <w:pPr>
        <w:pStyle w:val="Heading9"/>
        <w:numPr>
          <w:ilvl w:val="0"/>
          <w:numId w:val="53"/>
        </w:numPr>
        <w:tabs>
          <w:tab w:pos="1316" w:val="left" w:leader="none"/>
        </w:tabs>
        <w:spacing w:line="362" w:lineRule="auto" w:before="160" w:after="0"/>
        <w:ind w:left="116" w:right="1109" w:firstLine="480"/>
        <w:jc w:val="both"/>
      </w:pPr>
      <w:r>
        <w:rPr/>
        <w:t>乙方对电站养护维修负有全部责任，如果发生设备、设施损坏，乙方应及时通知甲方，视损坏情况通知承建单位及时修理。</w:t>
      </w:r>
    </w:p>
    <w:p>
      <w:pPr>
        <w:pStyle w:val="Heading9"/>
        <w:numPr>
          <w:ilvl w:val="0"/>
          <w:numId w:val="53"/>
        </w:numPr>
        <w:tabs>
          <w:tab w:pos="1316" w:val="left" w:leader="none"/>
        </w:tabs>
        <w:spacing w:line="240" w:lineRule="auto" w:before="5" w:after="0"/>
        <w:ind w:left="116" w:right="0" w:firstLine="480"/>
        <w:jc w:val="left"/>
      </w:pPr>
      <w:r>
        <w:rPr/>
        <w:t>乙方应加强检修施工的安全监督管理，杜绝各类人为责任或蓄意破坏事故</w:t>
      </w:r>
    </w:p>
    <w:p>
      <w:pPr>
        <w:pStyle w:val="Heading9"/>
        <w:spacing w:before="161"/>
        <w:ind w:firstLine="0"/>
      </w:pPr>
      <w:r>
        <w:rPr/>
        <w:t>。</w:t>
      </w:r>
    </w:p>
    <w:p>
      <w:pPr>
        <w:pStyle w:val="Heading9"/>
        <w:numPr>
          <w:ilvl w:val="1"/>
          <w:numId w:val="51"/>
        </w:numPr>
        <w:tabs>
          <w:tab w:pos="1076" w:val="left" w:leader="none"/>
        </w:tabs>
        <w:spacing w:line="240" w:lineRule="auto" w:before="158" w:after="0"/>
        <w:ind w:left="1076" w:right="0" w:hanging="480"/>
        <w:jc w:val="left"/>
      </w:pPr>
      <w:r>
        <w:rPr/>
        <w:t>返还甲方财产设施的义务</w:t>
      </w:r>
    </w:p>
    <w:p>
      <w:pPr>
        <w:pStyle w:val="Heading9"/>
        <w:spacing w:before="160"/>
        <w:ind w:left="595" w:firstLine="0"/>
      </w:pPr>
      <w:r>
        <w:rPr/>
        <w:t>本合同提前解除或到期终止时，乙方应无条件返还属于甲方的财产、设施。</w:t>
      </w:r>
    </w:p>
    <w:p>
      <w:pPr>
        <w:pStyle w:val="Heading9"/>
        <w:numPr>
          <w:ilvl w:val="1"/>
          <w:numId w:val="51"/>
        </w:numPr>
        <w:tabs>
          <w:tab w:pos="1076" w:val="left" w:leader="none"/>
        </w:tabs>
        <w:spacing w:line="240" w:lineRule="auto" w:before="159" w:after="0"/>
        <w:ind w:left="1076" w:right="0" w:hanging="480"/>
        <w:jc w:val="left"/>
      </w:pPr>
      <w:r>
        <w:rPr/>
        <w:t>乙方的权利</w:t>
      </w:r>
    </w:p>
    <w:p>
      <w:pPr>
        <w:pStyle w:val="Heading9"/>
        <w:numPr>
          <w:ilvl w:val="2"/>
          <w:numId w:val="51"/>
        </w:numPr>
        <w:tabs>
          <w:tab w:pos="1316" w:val="left" w:leader="none"/>
        </w:tabs>
        <w:spacing w:line="240" w:lineRule="auto" w:before="158" w:after="0"/>
        <w:ind w:left="1316" w:right="0" w:hanging="720"/>
        <w:jc w:val="left"/>
      </w:pPr>
      <w:r>
        <w:rPr/>
        <w:t>在遵守国家电力法律、法规、行业规范的前提下，乙方对电站开展日常维</w:t>
      </w:r>
    </w:p>
    <w:p>
      <w:pPr>
        <w:pStyle w:val="Heading9"/>
        <w:spacing w:before="160"/>
        <w:ind w:firstLine="0"/>
      </w:pPr>
      <w:r>
        <w:rPr/>
        <w:t>护管理工作。</w:t>
      </w:r>
    </w:p>
    <w:p>
      <w:pPr>
        <w:pStyle w:val="Heading9"/>
        <w:numPr>
          <w:ilvl w:val="2"/>
          <w:numId w:val="51"/>
        </w:numPr>
        <w:tabs>
          <w:tab w:pos="1316" w:val="left" w:leader="none"/>
        </w:tabs>
        <w:spacing w:line="240" w:lineRule="auto" w:before="161" w:after="0"/>
        <w:ind w:left="1316" w:right="0" w:hanging="720"/>
        <w:jc w:val="left"/>
      </w:pPr>
      <w:r>
        <w:rPr/>
        <w:t>在完全履行合同约定的义务前提下，按照本合同约定取得运维收益。</w:t>
      </w:r>
    </w:p>
    <w:p>
      <w:pPr>
        <w:pStyle w:val="Heading9"/>
        <w:numPr>
          <w:ilvl w:val="2"/>
          <w:numId w:val="51"/>
        </w:numPr>
        <w:tabs>
          <w:tab w:pos="1316" w:val="left" w:leader="none"/>
        </w:tabs>
        <w:spacing w:line="240" w:lineRule="auto" w:before="158" w:after="0"/>
        <w:ind w:left="1316" w:right="0" w:hanging="720"/>
        <w:jc w:val="left"/>
      </w:pPr>
      <w:r>
        <w:rPr/>
        <w:t>其它按合同约定乙方应享有的权利。</w:t>
      </w:r>
    </w:p>
    <w:p>
      <w:pPr>
        <w:pStyle w:val="Heading9"/>
        <w:numPr>
          <w:ilvl w:val="1"/>
          <w:numId w:val="54"/>
        </w:numPr>
        <w:tabs>
          <w:tab w:pos="1076" w:val="left" w:leader="none"/>
        </w:tabs>
        <w:spacing w:line="240" w:lineRule="auto" w:before="160" w:after="0"/>
        <w:ind w:left="1076" w:right="0" w:hanging="480"/>
        <w:jc w:val="left"/>
      </w:pPr>
      <w:r>
        <w:rPr/>
        <w:t>违约责任</w:t>
      </w:r>
    </w:p>
    <w:p>
      <w:pPr>
        <w:pStyle w:val="Heading9"/>
        <w:numPr>
          <w:ilvl w:val="2"/>
          <w:numId w:val="54"/>
        </w:numPr>
        <w:tabs>
          <w:tab w:pos="1197" w:val="left" w:leader="none"/>
        </w:tabs>
        <w:spacing w:line="364" w:lineRule="auto" w:before="158" w:after="0"/>
        <w:ind w:left="116" w:right="989" w:firstLine="480"/>
        <w:jc w:val="left"/>
      </w:pPr>
      <w:r>
        <w:rPr/>
        <w:t>乙方须对后台反应出的电站故障及时、准确的进行消缺，每有一次不及时扣运维费用2000元，如遇电站故障冲突（如同时有两个以上电站发生故障），乙方须及时告知甲方，否则视为不及时。</w:t>
      </w:r>
    </w:p>
    <w:p>
      <w:pPr>
        <w:pStyle w:val="Heading9"/>
        <w:numPr>
          <w:ilvl w:val="2"/>
          <w:numId w:val="54"/>
        </w:numPr>
        <w:tabs>
          <w:tab w:pos="1316" w:val="left" w:leader="none"/>
        </w:tabs>
        <w:spacing w:line="364" w:lineRule="auto" w:before="0" w:after="0"/>
        <w:ind w:left="116" w:right="1109" w:firstLine="480"/>
        <w:jc w:val="both"/>
      </w:pPr>
      <w:r>
        <w:rPr/>
        <w:t>若乙方出现上述任一违约情形，甲方有权解除合同，乙方在运维、日常巡视过程中，必须爱护电站设备、设施，保证电站设备、设施良好性；如遇外部因素损坏，乙方须从电站视频中截图，加以证明，甲方方能认可，否则视为乙方人为损坏， 并承担全部责任及恢复若乙方签约后不履行合同，甲方可解除合同，乙方应按本合同</w:t>
      </w:r>
    </w:p>
    <w:p>
      <w:pPr>
        <w:spacing w:after="0" w:line="364" w:lineRule="auto"/>
        <w:jc w:val="both"/>
        <w:sectPr>
          <w:footerReference w:type="default" r:id="rId25"/>
          <w:pgSz w:w="11910" w:h="16840"/>
          <w:pgMar w:footer="770" w:header="0" w:top="1360" w:bottom="960" w:left="1300" w:right="500"/>
          <w:pgNumType w:start="40"/>
        </w:sectPr>
      </w:pPr>
    </w:p>
    <w:p>
      <w:pPr>
        <w:pStyle w:val="Heading9"/>
        <w:spacing w:line="362" w:lineRule="auto" w:before="41"/>
        <w:ind w:right="989" w:firstLine="0"/>
      </w:pPr>
      <w:r>
        <w:rPr/>
        <w:t>年服务费的30%作为违约金赔偿甲方；若乙方的违约行为给甲方造成损失大于本合同约定的违约金的，给甲方造成的损失由乙方承担。</w:t>
      </w:r>
    </w:p>
    <w:p>
      <w:pPr>
        <w:pStyle w:val="Heading9"/>
        <w:spacing w:before="5"/>
        <w:ind w:left="595" w:firstLine="0"/>
      </w:pPr>
      <w:r>
        <w:rPr/>
        <w:t>4.9安全责任</w:t>
      </w:r>
    </w:p>
    <w:p>
      <w:pPr>
        <w:pStyle w:val="Heading9"/>
        <w:spacing w:line="364" w:lineRule="auto" w:before="158"/>
        <w:ind w:right="1109"/>
      </w:pPr>
      <w:r>
        <w:rPr/>
        <w:t>4.9.1 乙方在运维期间，如车辆及运维人员（包括在电站内作业时）发生的所有事故均由乙方独自承担，并且乙方要做好相应善后工作。</w:t>
      </w:r>
    </w:p>
    <w:p>
      <w:pPr>
        <w:pStyle w:val="Heading8"/>
        <w:spacing w:line="306" w:lineRule="exact"/>
      </w:pPr>
      <w:r>
        <w:rPr/>
        <w:t>五、 费用与支付</w:t>
      </w:r>
    </w:p>
    <w:p>
      <w:pPr>
        <w:pStyle w:val="Heading9"/>
        <w:numPr>
          <w:ilvl w:val="1"/>
          <w:numId w:val="55"/>
        </w:numPr>
        <w:tabs>
          <w:tab w:pos="957" w:val="left" w:leader="none"/>
        </w:tabs>
        <w:spacing w:line="240" w:lineRule="auto" w:before="161" w:after="0"/>
        <w:ind w:left="116" w:right="0" w:firstLine="480"/>
        <w:jc w:val="left"/>
      </w:pPr>
      <w:r>
        <w:rPr/>
        <w:t>电站运维团队的薪资待遇、福利、交通成本及住宿等一切费用由乙方承担。</w:t>
      </w:r>
    </w:p>
    <w:p>
      <w:pPr>
        <w:pStyle w:val="Heading9"/>
        <w:numPr>
          <w:ilvl w:val="1"/>
          <w:numId w:val="55"/>
        </w:numPr>
        <w:tabs>
          <w:tab w:pos="957" w:val="left" w:leader="none"/>
          <w:tab w:pos="2275" w:val="left" w:leader="none"/>
          <w:tab w:pos="3595" w:val="left" w:leader="none"/>
          <w:tab w:pos="5395" w:val="left" w:leader="none"/>
          <w:tab w:pos="6835" w:val="left" w:leader="none"/>
          <w:tab w:pos="7555" w:val="left" w:leader="none"/>
          <w:tab w:pos="8035" w:val="left" w:leader="none"/>
        </w:tabs>
        <w:spacing w:line="364" w:lineRule="auto" w:before="158" w:after="0"/>
        <w:ind w:left="116" w:right="1109" w:firstLine="480"/>
        <w:jc w:val="left"/>
      </w:pPr>
      <w:r>
        <w:rPr/>
        <w:t>乙方在合同期内每年的运维费用为每瓦</w:t>
        <w:tab/>
        <w:t>元/年，计</w:t>
        <w:tab/>
        <w:t>MW×</w:t>
        <w:tab/>
        <w:t>=</w:t>
        <w:tab/>
        <w:t>万元，三年共计人民币</w:t>
      </w:r>
      <w:r>
        <w:rPr>
          <w:u w:val="single"/>
        </w:rPr>
        <w:t> </w:t>
        <w:tab/>
      </w:r>
      <w:r>
        <w:rPr/>
        <w:t>万元（</w:t>
        <w:tab/>
        <w:t>元整）。</w:t>
      </w:r>
    </w:p>
    <w:p>
      <w:pPr>
        <w:pStyle w:val="Heading9"/>
        <w:numPr>
          <w:ilvl w:val="1"/>
          <w:numId w:val="55"/>
        </w:numPr>
        <w:tabs>
          <w:tab w:pos="1076" w:val="left" w:leader="none"/>
        </w:tabs>
        <w:spacing w:line="306" w:lineRule="exact" w:before="0" w:after="0"/>
        <w:ind w:left="1076" w:right="0" w:hanging="480"/>
        <w:jc w:val="left"/>
      </w:pPr>
      <w:r>
        <w:rPr/>
        <w:t>结算支付方式</w:t>
      </w:r>
    </w:p>
    <w:p>
      <w:pPr>
        <w:pStyle w:val="Heading9"/>
        <w:numPr>
          <w:ilvl w:val="2"/>
          <w:numId w:val="55"/>
        </w:numPr>
        <w:tabs>
          <w:tab w:pos="1316" w:val="left" w:leader="none"/>
        </w:tabs>
        <w:spacing w:line="362" w:lineRule="auto" w:before="160" w:after="0"/>
        <w:ind w:left="116" w:right="1109" w:firstLine="480"/>
        <w:jc w:val="left"/>
      </w:pPr>
      <w:r>
        <w:rPr/>
        <w:t>经双方协商同意，运维费用按季度结算。每季度初甲方根据乙方运维情况对乙方运维费用进行结算，每季度费用为32.4875万元。</w:t>
      </w:r>
    </w:p>
    <w:p>
      <w:pPr>
        <w:pStyle w:val="Heading9"/>
        <w:numPr>
          <w:ilvl w:val="2"/>
          <w:numId w:val="55"/>
        </w:numPr>
        <w:tabs>
          <w:tab w:pos="1197" w:val="left" w:leader="none"/>
        </w:tabs>
        <w:spacing w:line="240" w:lineRule="auto" w:before="5" w:after="0"/>
        <w:ind w:left="1197" w:right="0" w:hanging="601"/>
        <w:jc w:val="left"/>
      </w:pPr>
      <w:r>
        <w:rPr/>
        <w:t>结算时乙方需按甲方要求填写结算单，在扣除乙方因违约造成的违约罚金后</w:t>
      </w:r>
    </w:p>
    <w:p>
      <w:pPr>
        <w:pStyle w:val="Heading9"/>
        <w:spacing w:before="161"/>
        <w:ind w:firstLine="0"/>
      </w:pPr>
      <w:r>
        <w:rPr/>
        <w:t>，作为该季度的最终运维费用。</w:t>
      </w:r>
    </w:p>
    <w:p>
      <w:pPr>
        <w:pStyle w:val="Heading9"/>
        <w:numPr>
          <w:ilvl w:val="2"/>
          <w:numId w:val="55"/>
        </w:numPr>
        <w:tabs>
          <w:tab w:pos="1197" w:val="left" w:leader="none"/>
        </w:tabs>
        <w:spacing w:line="240" w:lineRule="auto" w:before="158" w:after="0"/>
        <w:ind w:left="1197" w:right="0" w:hanging="601"/>
        <w:jc w:val="left"/>
      </w:pPr>
      <w:r>
        <w:rPr/>
        <w:t>双方确认无误五个工作日内，甲方向乙方支付该季度的运维费用。</w:t>
      </w:r>
    </w:p>
    <w:p>
      <w:pPr>
        <w:pStyle w:val="Heading9"/>
        <w:numPr>
          <w:ilvl w:val="2"/>
          <w:numId w:val="55"/>
        </w:numPr>
        <w:tabs>
          <w:tab w:pos="1197" w:val="left" w:leader="none"/>
        </w:tabs>
        <w:spacing w:line="362" w:lineRule="auto" w:before="160" w:after="0"/>
        <w:ind w:left="116" w:right="989" w:firstLine="480"/>
        <w:jc w:val="left"/>
      </w:pPr>
      <w:r>
        <w:rPr/>
        <w:t>乙方在运维期间，除做好专业的运维记录外，还必须建立真实的运维支出账目。以便为甲方今后电站的运维提供真实有效的第一手资料。</w:t>
      </w:r>
    </w:p>
    <w:p>
      <w:pPr>
        <w:pStyle w:val="Heading8"/>
        <w:spacing w:before="3"/>
      </w:pPr>
      <w:r>
        <w:rPr/>
        <w:t>六、 合同变更、解除、终止</w:t>
      </w:r>
    </w:p>
    <w:p>
      <w:pPr>
        <w:pStyle w:val="BodyText"/>
        <w:spacing w:before="11"/>
        <w:rPr>
          <w:b/>
          <w:sz w:val="21"/>
        </w:rPr>
      </w:pPr>
    </w:p>
    <w:p>
      <w:pPr>
        <w:pStyle w:val="Heading9"/>
        <w:ind w:left="595" w:firstLine="0"/>
      </w:pPr>
      <w:r>
        <w:rPr/>
        <w:t>（1）合同的变更</w:t>
      </w:r>
    </w:p>
    <w:p>
      <w:pPr>
        <w:pStyle w:val="BodyText"/>
        <w:spacing w:before="12"/>
        <w:rPr>
          <w:sz w:val="21"/>
        </w:rPr>
      </w:pPr>
    </w:p>
    <w:p>
      <w:pPr>
        <w:pStyle w:val="Heading9"/>
        <w:numPr>
          <w:ilvl w:val="1"/>
          <w:numId w:val="56"/>
        </w:numPr>
        <w:tabs>
          <w:tab w:pos="1316" w:val="left" w:leader="none"/>
        </w:tabs>
        <w:spacing w:line="362" w:lineRule="auto" w:before="0" w:after="0"/>
        <w:ind w:left="836" w:right="1109" w:firstLine="0"/>
        <w:jc w:val="left"/>
      </w:pPr>
      <w:r>
        <w:rPr/>
        <w:t>合同经双方协商一致可以进行变更，由双方另行签署补充协议作为原合同的</w:t>
      </w:r>
    </w:p>
    <w:p>
      <w:pPr>
        <w:pStyle w:val="Heading9"/>
        <w:spacing w:before="5"/>
        <w:ind w:firstLine="0"/>
      </w:pPr>
      <w:r>
        <w:rPr/>
        <w:t>附件。</w:t>
      </w:r>
    </w:p>
    <w:p>
      <w:pPr>
        <w:pStyle w:val="Heading9"/>
        <w:spacing w:before="2"/>
        <w:ind w:left="595" w:firstLine="0"/>
      </w:pPr>
      <w:r>
        <w:rPr/>
        <w:t>（2）合同的解除</w:t>
      </w:r>
    </w:p>
    <w:p>
      <w:pPr>
        <w:pStyle w:val="Heading9"/>
        <w:numPr>
          <w:ilvl w:val="1"/>
          <w:numId w:val="56"/>
        </w:numPr>
        <w:tabs>
          <w:tab w:pos="1076" w:val="left" w:leader="none"/>
        </w:tabs>
        <w:spacing w:line="240" w:lineRule="auto" w:before="160" w:after="0"/>
        <w:ind w:left="1076" w:right="0" w:hanging="480"/>
        <w:jc w:val="left"/>
      </w:pPr>
      <w:r>
        <w:rPr/>
        <w:t>甲乙双方协商一致，可以解除合同。</w:t>
      </w:r>
    </w:p>
    <w:p>
      <w:pPr>
        <w:pStyle w:val="Heading9"/>
        <w:numPr>
          <w:ilvl w:val="1"/>
          <w:numId w:val="56"/>
        </w:numPr>
        <w:tabs>
          <w:tab w:pos="1076" w:val="left" w:leader="none"/>
        </w:tabs>
        <w:spacing w:line="240" w:lineRule="auto" w:before="161" w:after="0"/>
        <w:ind w:left="1076" w:right="0" w:hanging="480"/>
        <w:jc w:val="left"/>
      </w:pPr>
      <w:r>
        <w:rPr/>
        <w:t>有下列情形之一的，可以解除合同：</w:t>
      </w:r>
    </w:p>
    <w:p>
      <w:pPr>
        <w:pStyle w:val="Heading9"/>
        <w:numPr>
          <w:ilvl w:val="1"/>
          <w:numId w:val="56"/>
        </w:numPr>
        <w:tabs>
          <w:tab w:pos="1076" w:val="left" w:leader="none"/>
        </w:tabs>
        <w:spacing w:line="364" w:lineRule="auto" w:before="158" w:after="0"/>
        <w:ind w:left="116" w:right="1109" w:firstLine="480"/>
        <w:jc w:val="left"/>
      </w:pPr>
      <w:r>
        <w:rPr/>
        <w:t>当事人一方迟延履行合同义务或者有其他违约行为致使不能实现合同目的， 守约方可以解除合同；</w:t>
      </w:r>
    </w:p>
    <w:p>
      <w:pPr>
        <w:pStyle w:val="Heading9"/>
        <w:numPr>
          <w:ilvl w:val="1"/>
          <w:numId w:val="56"/>
        </w:numPr>
        <w:tabs>
          <w:tab w:pos="1076" w:val="left" w:leader="none"/>
        </w:tabs>
        <w:spacing w:line="364" w:lineRule="auto" w:before="0" w:after="0"/>
        <w:ind w:left="116" w:right="1109" w:firstLine="480"/>
        <w:jc w:val="both"/>
      </w:pPr>
      <w:r>
        <w:rPr/>
        <w:t>发生因乙方因素造成的一般及以上别的事故时，甲方可以解除合同，甲方无需承担事故造成的损失（包括人员、财产损失），而乙方除需承担事故本身造成的损失（包括人员、财产损失）同时还需向甲方承担违约损失。</w:t>
      </w:r>
    </w:p>
    <w:p>
      <w:pPr>
        <w:spacing w:after="0" w:line="364" w:lineRule="auto"/>
        <w:jc w:val="both"/>
        <w:sectPr>
          <w:pgSz w:w="11910" w:h="16840"/>
          <w:pgMar w:header="0" w:footer="770" w:top="1360" w:bottom="960" w:left="1300" w:right="500"/>
        </w:sectPr>
      </w:pPr>
    </w:p>
    <w:p>
      <w:pPr>
        <w:pStyle w:val="Heading9"/>
        <w:numPr>
          <w:ilvl w:val="1"/>
          <w:numId w:val="56"/>
        </w:numPr>
        <w:tabs>
          <w:tab w:pos="1076" w:val="left" w:leader="none"/>
        </w:tabs>
        <w:spacing w:line="240" w:lineRule="auto" w:before="41" w:after="0"/>
        <w:ind w:left="1076" w:right="0" w:hanging="480"/>
        <w:jc w:val="left"/>
      </w:pPr>
      <w:r>
        <w:rPr/>
        <w:t>因不可抗力致使不能履行合同的，甲乙双方可以解除合同；</w:t>
      </w:r>
    </w:p>
    <w:p>
      <w:pPr>
        <w:pStyle w:val="Heading9"/>
        <w:numPr>
          <w:ilvl w:val="1"/>
          <w:numId w:val="56"/>
        </w:numPr>
        <w:tabs>
          <w:tab w:pos="1076" w:val="left" w:leader="none"/>
        </w:tabs>
        <w:spacing w:line="364" w:lineRule="auto" w:before="158" w:after="0"/>
        <w:ind w:left="116" w:right="1109" w:firstLine="480"/>
        <w:jc w:val="both"/>
      </w:pPr>
      <w:r>
        <w:rPr/>
        <w:t>甲方须进行合格检查评估并提出合理的整改意见，乙方对于甲方的合理意见必须定期整改。如果乙方拒绝整改或整改后评估结果不合格，甲方有权单方解除本合同，甲方不承担违约责任，在乙方没有其他违约行为的情况下，可以与乙方据实结算费用；</w:t>
      </w:r>
    </w:p>
    <w:p>
      <w:pPr>
        <w:pStyle w:val="Heading9"/>
        <w:numPr>
          <w:ilvl w:val="1"/>
          <w:numId w:val="56"/>
        </w:numPr>
        <w:tabs>
          <w:tab w:pos="1076" w:val="left" w:leader="none"/>
        </w:tabs>
        <w:spacing w:line="364" w:lineRule="auto" w:before="0" w:after="0"/>
        <w:ind w:left="116" w:right="989" w:firstLine="480"/>
        <w:jc w:val="left"/>
      </w:pPr>
      <w:r>
        <w:rPr/>
        <w:t>甲方违约导致合同解除后，甲方应按照合同约定向乙方支付已完成运维部分的服务费，乙方违约导致合同解除，乙方需要按照本合同年服务费的30%作为违约金赔偿甲方。由于不可抗力导致本合解除的乙方有权得到至合同解除日止因提供服务所发生的合同价款。</w:t>
      </w:r>
    </w:p>
    <w:p>
      <w:pPr>
        <w:pStyle w:val="Heading9"/>
        <w:numPr>
          <w:ilvl w:val="1"/>
          <w:numId w:val="56"/>
        </w:numPr>
        <w:tabs>
          <w:tab w:pos="1076" w:val="left" w:leader="none"/>
        </w:tabs>
        <w:spacing w:line="305" w:lineRule="exact" w:before="0" w:after="0"/>
        <w:ind w:left="1076" w:right="0" w:hanging="480"/>
        <w:jc w:val="left"/>
      </w:pPr>
      <w:r>
        <w:rPr/>
        <w:t>本合同解除后，本合同约定的有关结算、争议解除方式条款仍然有效。</w:t>
      </w:r>
    </w:p>
    <w:p>
      <w:pPr>
        <w:pStyle w:val="Heading9"/>
        <w:numPr>
          <w:ilvl w:val="0"/>
          <w:numId w:val="53"/>
        </w:numPr>
        <w:tabs>
          <w:tab w:pos="1316" w:val="left" w:leader="none"/>
        </w:tabs>
        <w:spacing w:line="240" w:lineRule="auto" w:before="158" w:after="0"/>
        <w:ind w:left="116" w:right="0" w:firstLine="480"/>
        <w:jc w:val="left"/>
      </w:pPr>
      <w:r>
        <w:rPr/>
        <w:t>合同的终止</w:t>
      </w:r>
    </w:p>
    <w:p>
      <w:pPr>
        <w:pStyle w:val="Heading9"/>
        <w:spacing w:line="364" w:lineRule="auto" w:before="158"/>
        <w:ind w:right="1021" w:firstLine="566"/>
      </w:pPr>
      <w:r>
        <w:rPr/>
        <w:t>除合同解除外，乙方完成本合同约定的合同义务，甲方与乙方结清并支付服务费后，本合同终止。</w:t>
      </w:r>
    </w:p>
    <w:p>
      <w:pPr>
        <w:pStyle w:val="Heading8"/>
        <w:spacing w:before="2"/>
      </w:pPr>
      <w:r>
        <w:rPr/>
        <w:t>七、 争议与诉讼</w:t>
      </w:r>
    </w:p>
    <w:p>
      <w:pPr>
        <w:pStyle w:val="Heading9"/>
        <w:numPr>
          <w:ilvl w:val="1"/>
          <w:numId w:val="57"/>
        </w:numPr>
        <w:tabs>
          <w:tab w:pos="1076" w:val="left" w:leader="none"/>
        </w:tabs>
        <w:spacing w:line="240" w:lineRule="auto" w:before="158" w:after="0"/>
        <w:ind w:left="1076" w:right="0" w:hanging="480"/>
        <w:jc w:val="left"/>
      </w:pPr>
      <w:r>
        <w:rPr/>
        <w:t>争议</w:t>
      </w:r>
    </w:p>
    <w:p>
      <w:pPr>
        <w:pStyle w:val="Heading9"/>
        <w:numPr>
          <w:ilvl w:val="2"/>
          <w:numId w:val="57"/>
        </w:numPr>
        <w:tabs>
          <w:tab w:pos="1316" w:val="left" w:leader="none"/>
        </w:tabs>
        <w:spacing w:line="362" w:lineRule="auto" w:before="160" w:after="0"/>
        <w:ind w:left="116" w:right="1109" w:firstLine="480"/>
        <w:jc w:val="left"/>
      </w:pPr>
      <w:r>
        <w:rPr/>
        <w:t>合同执行过程中，当双方或与第三方出现争议，双方应本着公平、合理的原则，根据国家的有关规定和行业惯例，及时协商处理。</w:t>
      </w:r>
    </w:p>
    <w:p>
      <w:pPr>
        <w:pStyle w:val="Heading9"/>
        <w:numPr>
          <w:ilvl w:val="2"/>
          <w:numId w:val="57"/>
        </w:numPr>
        <w:tabs>
          <w:tab w:pos="1316" w:val="left" w:leader="none"/>
        </w:tabs>
        <w:spacing w:line="364" w:lineRule="auto" w:before="3" w:after="0"/>
        <w:ind w:left="116" w:right="1109" w:firstLine="480"/>
        <w:jc w:val="left"/>
      </w:pPr>
      <w:r>
        <w:rPr/>
        <w:t>双方的工作范围有交叉、模糊或争议时，乙方应在不影响设备正常运维的前提下，与甲方协商解决。</w:t>
      </w:r>
    </w:p>
    <w:p>
      <w:pPr>
        <w:pStyle w:val="Heading9"/>
        <w:spacing w:before="1"/>
        <w:ind w:left="595" w:firstLine="0"/>
      </w:pPr>
      <w:r>
        <w:rPr/>
        <w:t>7.2诉讼</w:t>
      </w:r>
    </w:p>
    <w:p>
      <w:pPr>
        <w:pStyle w:val="Heading9"/>
        <w:spacing w:line="364" w:lineRule="auto" w:before="158"/>
        <w:ind w:right="1109"/>
      </w:pPr>
      <w:r>
        <w:rPr/>
        <w:t>7.2.l 在争议发生后，如果在三十日内尚未达成一致意见，在无法协商解决的情况下，任何一方可向合同签订地沽源县人民法院提出诉讼申请。因诉讼引起的诉讼费</w:t>
      </w:r>
    </w:p>
    <w:p>
      <w:pPr>
        <w:pStyle w:val="Heading9"/>
        <w:spacing w:line="306" w:lineRule="exact"/>
        <w:ind w:firstLine="0"/>
      </w:pPr>
      <w:r>
        <w:rPr/>
        <w:t>、律师费、差旅费等费用应由败诉方承担。</w:t>
      </w:r>
    </w:p>
    <w:p>
      <w:pPr>
        <w:pStyle w:val="Heading9"/>
        <w:spacing w:line="364" w:lineRule="auto" w:before="161"/>
        <w:ind w:right="989"/>
      </w:pPr>
      <w:r>
        <w:rPr/>
        <w:t>7.2.2诉讼可以在合同履行过程中进行，但双方的义务不得因争议或正在进行中的诉讼而改变。</w:t>
      </w:r>
    </w:p>
    <w:p>
      <w:pPr>
        <w:pStyle w:val="Heading8"/>
        <w:spacing w:line="306" w:lineRule="exact"/>
      </w:pPr>
      <w:r>
        <w:rPr/>
        <w:t>八、 适用法律</w:t>
      </w:r>
    </w:p>
    <w:p>
      <w:pPr>
        <w:pStyle w:val="Heading9"/>
        <w:numPr>
          <w:ilvl w:val="1"/>
          <w:numId w:val="58"/>
        </w:numPr>
        <w:tabs>
          <w:tab w:pos="1076" w:val="left" w:leader="none"/>
        </w:tabs>
        <w:spacing w:line="364" w:lineRule="auto" w:before="158" w:after="0"/>
        <w:ind w:left="116" w:right="1109" w:firstLine="480"/>
        <w:jc w:val="both"/>
      </w:pPr>
      <w:r>
        <w:rPr/>
        <w:t>本合同的签订、有效性、解释、履行和争议的解决，均按照中华人民共和国有关法律执行。如果法律未对与本合同有关的待定事项加以规定，则在国家法律许可的范围内，参照最新的国内光伏电站行业相关法规、规定和惯例执行。</w:t>
      </w:r>
    </w:p>
    <w:p>
      <w:pPr>
        <w:pStyle w:val="Heading9"/>
        <w:numPr>
          <w:ilvl w:val="1"/>
          <w:numId w:val="58"/>
        </w:numPr>
        <w:tabs>
          <w:tab w:pos="1076" w:val="left" w:leader="none"/>
        </w:tabs>
        <w:spacing w:line="307" w:lineRule="exact" w:before="0" w:after="0"/>
        <w:ind w:left="116" w:right="0" w:firstLine="480"/>
        <w:jc w:val="left"/>
      </w:pPr>
      <w:r>
        <w:rPr/>
        <w:t>合同文件包括本合同及其附件，其优先解释顺序如下：</w:t>
      </w:r>
    </w:p>
    <w:p>
      <w:pPr>
        <w:spacing w:after="0" w:line="307" w:lineRule="exact"/>
        <w:jc w:val="left"/>
        <w:sectPr>
          <w:pgSz w:w="11910" w:h="16840"/>
          <w:pgMar w:header="0" w:footer="770" w:top="1360" w:bottom="960" w:left="1300" w:right="500"/>
        </w:sectPr>
      </w:pPr>
    </w:p>
    <w:p>
      <w:pPr>
        <w:pStyle w:val="Heading9"/>
        <w:numPr>
          <w:ilvl w:val="2"/>
          <w:numId w:val="58"/>
        </w:numPr>
        <w:tabs>
          <w:tab w:pos="1316" w:val="left" w:leader="none"/>
        </w:tabs>
        <w:spacing w:line="240" w:lineRule="auto" w:before="41" w:after="0"/>
        <w:ind w:left="1316" w:right="0" w:hanging="720"/>
        <w:jc w:val="left"/>
      </w:pPr>
      <w:r>
        <w:rPr/>
        <w:t>本合同书及有关的变更、委托及会议纪要等补充文件。</w:t>
      </w:r>
    </w:p>
    <w:p>
      <w:pPr>
        <w:pStyle w:val="Heading9"/>
        <w:numPr>
          <w:ilvl w:val="2"/>
          <w:numId w:val="58"/>
        </w:numPr>
        <w:tabs>
          <w:tab w:pos="1316" w:val="left" w:leader="none"/>
        </w:tabs>
        <w:spacing w:line="240" w:lineRule="auto" w:before="158" w:after="0"/>
        <w:ind w:left="1316" w:right="0" w:hanging="720"/>
        <w:jc w:val="left"/>
      </w:pPr>
      <w:r>
        <w:rPr/>
        <w:t>标准、技术规范。</w:t>
      </w:r>
    </w:p>
    <w:p>
      <w:pPr>
        <w:pStyle w:val="Heading9"/>
        <w:numPr>
          <w:ilvl w:val="2"/>
          <w:numId w:val="58"/>
        </w:numPr>
        <w:tabs>
          <w:tab w:pos="1316" w:val="left" w:leader="none"/>
        </w:tabs>
        <w:spacing w:line="240" w:lineRule="auto" w:before="161" w:after="0"/>
        <w:ind w:left="1316" w:right="0" w:hanging="720"/>
        <w:jc w:val="left"/>
      </w:pPr>
      <w:r>
        <w:rPr/>
        <w:t>其他合同文件。</w:t>
      </w:r>
    </w:p>
    <w:p>
      <w:pPr>
        <w:pStyle w:val="Heading9"/>
        <w:spacing w:line="364" w:lineRule="auto" w:before="158"/>
        <w:ind w:right="1109"/>
        <w:jc w:val="both"/>
      </w:pPr>
      <w:r>
        <w:rPr/>
        <w:t>8.3 合同组成文件应互为补充和解释，如有不清楚或互相矛盾之处，以所列顺序在前的为准，同一顺序的则以时间在后的为准。某一合同组成文件本身存在含糊不清或不一致的情形时，双方应从实现合同目的的角度协商解决，且不应对电站运维实施造成不利影响。经协商后双方仍无法达成一致意见的，可按合同条款的规定提请争议解决。</w:t>
      </w:r>
    </w:p>
    <w:p>
      <w:pPr>
        <w:pStyle w:val="Heading8"/>
        <w:spacing w:line="306" w:lineRule="exact"/>
      </w:pPr>
      <w:r>
        <w:rPr/>
        <w:t>第九条 其他约定</w:t>
      </w:r>
    </w:p>
    <w:p>
      <w:pPr>
        <w:pStyle w:val="Heading9"/>
        <w:numPr>
          <w:ilvl w:val="1"/>
          <w:numId w:val="59"/>
        </w:numPr>
        <w:tabs>
          <w:tab w:pos="1076" w:val="left" w:leader="none"/>
        </w:tabs>
        <w:spacing w:line="364" w:lineRule="auto" w:before="158" w:after="0"/>
        <w:ind w:left="116" w:right="1109" w:firstLine="480"/>
        <w:jc w:val="left"/>
      </w:pPr>
      <w:r>
        <w:rPr/>
        <w:t>若本合同条款的技术、经济或法律条件发生根本性改变，继而导致合同一方无法按预期继续履行合同条款的，该方可以要求根据变化的情形对合同条款进行调整</w:t>
      </w:r>
    </w:p>
    <w:p>
      <w:pPr>
        <w:pStyle w:val="Heading9"/>
        <w:spacing w:line="306" w:lineRule="exact"/>
        <w:ind w:firstLine="0"/>
      </w:pPr>
      <w:r>
        <w:rPr/>
        <w:t>。</w:t>
      </w:r>
    </w:p>
    <w:p>
      <w:pPr>
        <w:pStyle w:val="Heading9"/>
        <w:numPr>
          <w:ilvl w:val="1"/>
          <w:numId w:val="59"/>
        </w:numPr>
        <w:tabs>
          <w:tab w:pos="1076" w:val="left" w:leader="none"/>
        </w:tabs>
        <w:spacing w:line="364" w:lineRule="auto" w:before="160" w:after="0"/>
        <w:ind w:left="116" w:right="1109" w:firstLine="480"/>
        <w:jc w:val="both"/>
      </w:pPr>
      <w:r>
        <w:rPr/>
        <w:t>若合同的任意条款或任意部分变得无效或无法执行，其余条款的有效性不受影响。在此情况下，双方应用新的条款来替代这些无效条款，新添加的条款应与合同的观点、精神和目的尽可能保持一致。以上条款同样适用于合同内容遗漏的情况。</w:t>
      </w:r>
    </w:p>
    <w:p>
      <w:pPr>
        <w:pStyle w:val="Heading9"/>
        <w:numPr>
          <w:ilvl w:val="1"/>
          <w:numId w:val="59"/>
        </w:numPr>
        <w:tabs>
          <w:tab w:pos="957" w:val="left" w:leader="none"/>
        </w:tabs>
        <w:spacing w:line="362" w:lineRule="auto" w:before="0" w:after="0"/>
        <w:ind w:left="116" w:right="989" w:firstLine="480"/>
        <w:jc w:val="left"/>
      </w:pPr>
      <w:r>
        <w:rPr/>
        <w:t>本合同未尽事宜，双方应友好协商，签订补充合同，补充合同与本合同具有同等的法律效力,最终解释权归甲方所有。</w:t>
      </w:r>
    </w:p>
    <w:p>
      <w:pPr>
        <w:pStyle w:val="Heading9"/>
        <w:numPr>
          <w:ilvl w:val="1"/>
          <w:numId w:val="59"/>
        </w:numPr>
        <w:tabs>
          <w:tab w:pos="1076" w:val="left" w:leader="none"/>
        </w:tabs>
        <w:spacing w:line="364" w:lineRule="auto" w:before="2" w:after="0"/>
        <w:ind w:left="116" w:right="1109" w:firstLine="480"/>
        <w:jc w:val="left"/>
      </w:pPr>
      <w:r>
        <w:rPr/>
        <w:t>本合同一式四份，双方各执二份，每份具有同等法律效力，合同自双方签字盖章（合同章/公章）之日起生效。</w:t>
      </w:r>
    </w:p>
    <w:p>
      <w:pPr>
        <w:pStyle w:val="BodyText"/>
        <w:rPr>
          <w:sz w:val="24"/>
        </w:rPr>
      </w:pPr>
    </w:p>
    <w:p>
      <w:pPr>
        <w:pStyle w:val="Heading8"/>
        <w:spacing w:before="160"/>
      </w:pPr>
      <w:r>
        <w:rPr/>
        <w:t>第十条 本合同解释权归甲方所有</w:t>
      </w:r>
    </w:p>
    <w:p>
      <w:pPr>
        <w:pStyle w:val="BodyText"/>
        <w:rPr>
          <w:b/>
          <w:sz w:val="24"/>
        </w:rPr>
      </w:pPr>
    </w:p>
    <w:p>
      <w:pPr>
        <w:pStyle w:val="BodyText"/>
        <w:spacing w:before="11"/>
        <w:rPr>
          <w:b/>
          <w:sz w:val="24"/>
        </w:rPr>
      </w:pPr>
    </w:p>
    <w:p>
      <w:pPr>
        <w:pStyle w:val="Heading9"/>
        <w:spacing w:line="364" w:lineRule="auto"/>
        <w:ind w:right="4829" w:firstLine="0"/>
      </w:pPr>
      <w:r>
        <w:rPr/>
        <w:t>甲方:张北县大容新能源开发有限公司（公司章） 法人代表或委托代理人（签字或盖章）：</w:t>
      </w:r>
    </w:p>
    <w:p>
      <w:pPr>
        <w:pStyle w:val="Heading9"/>
        <w:spacing w:before="1"/>
        <w:ind w:firstLine="0"/>
      </w:pPr>
      <w:r>
        <w:rPr/>
        <w:t>税号：</w:t>
      </w:r>
    </w:p>
    <w:p>
      <w:pPr>
        <w:pStyle w:val="BodyText"/>
        <w:rPr>
          <w:sz w:val="24"/>
        </w:rPr>
      </w:pPr>
    </w:p>
    <w:p>
      <w:pPr>
        <w:pStyle w:val="BodyText"/>
        <w:spacing w:before="8"/>
        <w:rPr>
          <w:sz w:val="24"/>
        </w:rPr>
      </w:pPr>
    </w:p>
    <w:p>
      <w:pPr>
        <w:pStyle w:val="Heading9"/>
        <w:spacing w:before="1"/>
        <w:ind w:firstLine="0"/>
      </w:pPr>
      <w:r>
        <w:rPr/>
        <w:t>乙方：（公司章）</w:t>
      </w:r>
    </w:p>
    <w:p>
      <w:pPr>
        <w:pStyle w:val="Heading9"/>
        <w:spacing w:line="362" w:lineRule="auto" w:before="160"/>
        <w:ind w:right="5669" w:firstLine="0"/>
      </w:pPr>
      <w:r>
        <w:rPr/>
        <w:t>法人代表或委托代理人（签字或盖章）： 税号：</w:t>
      </w:r>
    </w:p>
    <w:p>
      <w:pPr>
        <w:pStyle w:val="Heading9"/>
        <w:tabs>
          <w:tab w:pos="6115" w:val="left" w:leader="none"/>
          <w:tab w:pos="6715" w:val="left" w:leader="none"/>
          <w:tab w:pos="7315" w:val="left" w:leader="none"/>
        </w:tabs>
        <w:spacing w:before="149"/>
        <w:ind w:left="4436" w:firstLine="0"/>
      </w:pPr>
      <w:r>
        <w:rPr/>
        <w:t>签订日期：</w:t>
        <w:tab/>
        <w:t>年</w:t>
        <w:tab/>
        <w:t>月</w:t>
        <w:tab/>
        <w:t>日</w:t>
      </w:r>
    </w:p>
    <w:p>
      <w:pPr>
        <w:spacing w:after="0"/>
        <w:sectPr>
          <w:pgSz w:w="11910" w:h="16840"/>
          <w:pgMar w:header="0" w:footer="770" w:top="1360" w:bottom="960" w:left="1300" w:right="500"/>
        </w:sectPr>
      </w:pPr>
    </w:p>
    <w:p>
      <w:pPr>
        <w:pStyle w:val="BodyText"/>
        <w:rPr>
          <w:sz w:val="28"/>
        </w:rPr>
      </w:pPr>
    </w:p>
    <w:p>
      <w:pPr>
        <w:pStyle w:val="BodyText"/>
        <w:spacing w:before="8"/>
        <w:rPr>
          <w:sz w:val="23"/>
        </w:rPr>
      </w:pPr>
    </w:p>
    <w:p>
      <w:pPr>
        <w:pStyle w:val="Heading6"/>
        <w:ind w:left="115"/>
      </w:pPr>
      <w:r>
        <w:rPr/>
        <w:t>一、服务内容及要求</w:t>
      </w:r>
    </w:p>
    <w:p>
      <w:pPr>
        <w:pStyle w:val="Heading1"/>
        <w:ind w:left="116"/>
      </w:pPr>
      <w:r>
        <w:rPr>
          <w:b w:val="0"/>
        </w:rPr>
        <w:br w:type="column"/>
      </w:r>
      <w:bookmarkStart w:name="第五章 委托人要求" w:id="9"/>
      <w:bookmarkEnd w:id="9"/>
      <w:r>
        <w:rPr>
          <w:b w:val="0"/>
        </w:rPr>
      </w:r>
      <w:bookmarkStart w:name="_bookmark4" w:id="10"/>
      <w:bookmarkEnd w:id="10"/>
      <w:r>
        <w:rPr>
          <w:b w:val="0"/>
        </w:rPr>
      </w:r>
      <w:r>
        <w:rPr/>
        <w:t>第五章 委托人要求</w:t>
      </w:r>
    </w:p>
    <w:p>
      <w:pPr>
        <w:spacing w:after="0"/>
        <w:sectPr>
          <w:pgSz w:w="11910" w:h="16840"/>
          <w:pgMar w:header="0" w:footer="770" w:top="1460" w:bottom="960" w:left="1300" w:right="500"/>
          <w:cols w:num="2" w:equalWidth="0">
            <w:col w:w="2662" w:space="367"/>
            <w:col w:w="7081"/>
          </w:cols>
        </w:sectPr>
      </w:pPr>
    </w:p>
    <w:p>
      <w:pPr>
        <w:pStyle w:val="BodyText"/>
        <w:spacing w:before="5"/>
        <w:rPr>
          <w:b/>
          <w:sz w:val="22"/>
        </w:rPr>
      </w:pPr>
    </w:p>
    <w:p>
      <w:pPr>
        <w:pStyle w:val="Heading9"/>
        <w:spacing w:line="364" w:lineRule="auto" w:before="67"/>
        <w:ind w:left="428" w:right="841" w:firstLine="465"/>
      </w:pPr>
      <w:r>
        <w:rPr>
          <w:spacing w:val="-5"/>
        </w:rPr>
        <w:t>张北县村级分布式屋顶光伏电站，建设规模为6.25MW,位于台路沟乡、小二台镇、郝家营乡、白庙滩乡、张北镇、馒头营乡、大囫囵镇、战海乡、大河镇、大西湾乡、二台镇、公会镇、二泉井乡共计</w:t>
      </w:r>
      <w:r>
        <w:rPr>
          <w:spacing w:val="-4"/>
        </w:rPr>
        <w:t>13</w:t>
      </w:r>
      <w:r>
        <w:rPr>
          <w:spacing w:val="-5"/>
        </w:rPr>
        <w:t>个乡镇</w:t>
      </w:r>
      <w:r>
        <w:rPr>
          <w:spacing w:val="-6"/>
        </w:rPr>
        <w:t>53</w:t>
      </w:r>
      <w:r>
        <w:rPr>
          <w:spacing w:val="-5"/>
        </w:rPr>
        <w:t>个行政村。该运维服务包括屋顶光伏电站日常生产期间的生产管理、安全管理、运行及维护工作、事故处理和应急抢险工作、技术资料和生产档案建立、文明生产等方面的工作。</w:t>
      </w:r>
    </w:p>
    <w:p>
      <w:pPr>
        <w:pStyle w:val="Heading8"/>
        <w:spacing w:line="303" w:lineRule="exact"/>
      </w:pPr>
      <w:r>
        <w:rPr/>
        <w:t>（一）日常运维维护服务</w:t>
      </w:r>
    </w:p>
    <w:p>
      <w:pPr>
        <w:pStyle w:val="Heading9"/>
        <w:spacing w:line="364" w:lineRule="auto" w:before="160"/>
        <w:ind w:right="973"/>
      </w:pPr>
      <w:r>
        <w:rPr/>
        <w:t>张北县6.25MW村级分布式屋顶光伏电站运维服务项目（保证屋顶光伏电站发电量不低于1500小时</w:t>
      </w:r>
      <w:r>
        <w:rPr>
          <w:rFonts w:ascii="Arial" w:eastAsia="Arial"/>
        </w:rPr>
        <w:t>/</w:t>
      </w:r>
      <w:r>
        <w:rPr/>
        <w:t>千瓦</w:t>
      </w:r>
      <w:r>
        <w:rPr>
          <w:rFonts w:ascii="Arial" w:eastAsia="Arial"/>
        </w:rPr>
        <w:t>/</w:t>
      </w:r>
      <w:r>
        <w:rPr/>
        <w:t>年）运行、维护及日常管理事宜。持续修订和更新光伏电站运行和检修规程，以符合设施实际运行和维护状况。中标人负责对现场各种设备设施制定相应的定置管理及使用维护保养制度，加强管理，一旦由于中标人责任出现意外或损坏，则按原规格予以更换或照正常折旧价赔偿。</w:t>
      </w:r>
    </w:p>
    <w:p>
      <w:pPr>
        <w:pStyle w:val="Heading8"/>
        <w:spacing w:line="303" w:lineRule="exact"/>
      </w:pPr>
      <w:r>
        <w:rPr/>
        <w:t>1、工作范围（包括但不限于）：</w:t>
      </w:r>
    </w:p>
    <w:p>
      <w:pPr>
        <w:pStyle w:val="Heading9"/>
        <w:spacing w:line="364" w:lineRule="auto" w:before="161"/>
        <w:ind w:right="1049" w:firstLine="420"/>
      </w:pPr>
      <w:r>
        <w:rPr/>
        <w:t>（1）生产期间的生产管理、安全管理、运行及维护工作、事故处理和应急抢险工作、技术资料和生产档案建立、文明生产等方面的工作。</w:t>
      </w:r>
    </w:p>
    <w:p>
      <w:pPr>
        <w:pStyle w:val="Heading9"/>
        <w:spacing w:line="364" w:lineRule="auto"/>
        <w:ind w:right="1049" w:firstLine="420"/>
      </w:pPr>
      <w:r>
        <w:rPr/>
        <w:t>（2）运维期间，负责屋顶光伏电站所有生产管理和指挥工作，并采取有效的措施保证屋顶光伏电站整体安全经济运行。</w:t>
      </w:r>
    </w:p>
    <w:p>
      <w:pPr>
        <w:pStyle w:val="Heading9"/>
        <w:spacing w:line="306" w:lineRule="exact"/>
        <w:ind w:left="535" w:firstLine="0"/>
      </w:pPr>
      <w:r>
        <w:rPr/>
        <w:t>（3）运维期间，负责屋顶光伏电站范围内所有设备的日常维护与监视、定时巡检</w:t>
      </w:r>
    </w:p>
    <w:p>
      <w:pPr>
        <w:pStyle w:val="Heading9"/>
        <w:spacing w:before="159"/>
        <w:ind w:firstLine="0"/>
      </w:pPr>
      <w:r>
        <w:rPr/>
        <w:t>、缺陷处理以及事故处理。</w:t>
      </w:r>
    </w:p>
    <w:p>
      <w:pPr>
        <w:pStyle w:val="Heading9"/>
        <w:spacing w:line="362" w:lineRule="auto" w:before="161"/>
        <w:ind w:right="989"/>
      </w:pPr>
      <w:r>
        <w:rPr/>
        <w:t>（4）负责电站厂区内的发电设施、工器具、车辆、建筑物等资产的运行、维护及日常管理。</w:t>
      </w:r>
    </w:p>
    <w:p>
      <w:pPr>
        <w:pStyle w:val="Heading9"/>
        <w:spacing w:line="364" w:lineRule="auto" w:before="2"/>
        <w:ind w:right="989"/>
      </w:pPr>
      <w:r>
        <w:rPr/>
        <w:t>（5）中标人需执行电网运行维护的相关法律、法规、规章制度和行业规范。建立健全高效、严格的运行维护指挥系统，及时解决运行维护中发生的问题。制定目标资产的现场运行规程，并报委托方备案。遇有设备设施变动时，应及时修订现场运行规程。建立健全目标资产的档案管理，妥善保管项目档案，包括但不限于技术图纸档案</w:t>
      </w:r>
    </w:p>
    <w:p>
      <w:pPr>
        <w:pStyle w:val="Heading9"/>
        <w:spacing w:line="364" w:lineRule="auto"/>
        <w:ind w:right="1109" w:firstLine="0"/>
        <w:jc w:val="both"/>
      </w:pPr>
      <w:r>
        <w:rPr/>
        <w:t>、设备台帐、试验资料、技改资料、重大缺陷和事故情况等记录。保管条件符合国家标准。中标人保证项目档案安全、完整，未经甲方许可，不向甲方以外的自然人或法人泄露档案内容。</w:t>
      </w:r>
    </w:p>
    <w:p>
      <w:pPr>
        <w:spacing w:after="0" w:line="364" w:lineRule="auto"/>
        <w:jc w:val="both"/>
        <w:sectPr>
          <w:type w:val="continuous"/>
          <w:pgSz w:w="11910" w:h="16840"/>
          <w:pgMar w:top="1580" w:bottom="280" w:left="1300" w:right="500"/>
        </w:sectPr>
      </w:pPr>
    </w:p>
    <w:p>
      <w:pPr>
        <w:pStyle w:val="Heading9"/>
        <w:spacing w:line="364" w:lineRule="auto" w:before="41"/>
        <w:ind w:right="1049" w:firstLine="420"/>
        <w:jc w:val="both"/>
      </w:pPr>
      <w:r>
        <w:rPr/>
        <w:t>（6）组织运检人员进行监视、定时巡视，及时发现设备缺陷，并做好各项运行记录。负责目标资产的技术监督工作，对设备状况及时做出评估，分析存在的问题并提出改进建议。</w:t>
      </w:r>
    </w:p>
    <w:p>
      <w:pPr>
        <w:pStyle w:val="Heading9"/>
        <w:spacing w:line="364" w:lineRule="auto"/>
        <w:ind w:right="1049" w:firstLine="420"/>
      </w:pPr>
      <w:r>
        <w:rPr/>
        <w:t>（7）加强设备缺陷管理，按设备缺陷的严重程度进行分类，做好记录，并及时进行消缺处理。</w:t>
      </w:r>
    </w:p>
    <w:p>
      <w:pPr>
        <w:pStyle w:val="Heading9"/>
        <w:spacing w:line="306" w:lineRule="exact"/>
        <w:ind w:left="535" w:firstLine="0"/>
      </w:pPr>
      <w:r>
        <w:rPr/>
        <w:t>（8）负责按甲方要求报送各类计划方案。</w:t>
      </w:r>
    </w:p>
    <w:p>
      <w:pPr>
        <w:pStyle w:val="Heading9"/>
        <w:spacing w:line="364" w:lineRule="auto" w:before="158"/>
        <w:ind w:right="1049" w:firstLine="420"/>
        <w:jc w:val="both"/>
      </w:pPr>
      <w:r>
        <w:rPr/>
        <w:t>（9）中标人严格执行安全生产及运行情况报告制度，及时上报事故、运行情况。发生事故应迅速组织应急抢修工作，并在规定时间内提交事故分析报告。月报内容包括发电量完成情况、巡视运行情况、检修消缺情况、主要事件及运行分析情况等。</w:t>
      </w:r>
    </w:p>
    <w:p>
      <w:pPr>
        <w:pStyle w:val="Heading9"/>
        <w:spacing w:line="364" w:lineRule="auto"/>
        <w:ind w:right="929" w:firstLine="420"/>
      </w:pPr>
      <w:r>
        <w:rPr/>
        <w:t>（10）对运行情况、存在缺陷和所发生的异常及事故进行分析。针对存在问题，及时提出具体改进或调整措施并予以实施。</w:t>
      </w:r>
    </w:p>
    <w:p>
      <w:pPr>
        <w:pStyle w:val="Heading9"/>
        <w:spacing w:line="364" w:lineRule="auto"/>
        <w:ind w:right="929" w:firstLine="420"/>
      </w:pPr>
      <w:r>
        <w:rPr/>
        <w:t>（11）编制目标资产月度生产运行分析报告，于次月报送招标方；负责编制目标资产年度运行维护总结报告，于考核完成后五个工作日内将上一年度运行维护总结报告报送招标方。</w:t>
      </w:r>
    </w:p>
    <w:p>
      <w:pPr>
        <w:pStyle w:val="Heading9"/>
        <w:spacing w:line="364" w:lineRule="auto"/>
        <w:ind w:right="989"/>
      </w:pPr>
      <w:r>
        <w:rPr/>
        <w:t>协助招标人与保险公司洽谈投保事宜，当发生目标资产损坏等事故时，中标人应第一时间通知招标人和政府有权管辖部门,并负责做好抢险、现场取证、索赔资料收集</w:t>
      </w:r>
    </w:p>
    <w:p>
      <w:pPr>
        <w:pStyle w:val="Heading9"/>
        <w:spacing w:line="306" w:lineRule="exact"/>
        <w:ind w:firstLine="0"/>
      </w:pPr>
      <w:r>
        <w:rPr/>
        <w:t>，协助招标人进行索赔谈判事宜。</w:t>
      </w:r>
    </w:p>
    <w:p>
      <w:pPr>
        <w:pStyle w:val="Heading8"/>
        <w:tabs>
          <w:tab w:pos="1116" w:val="left" w:leader="none"/>
        </w:tabs>
        <w:spacing w:before="153"/>
        <w:ind w:left="617"/>
      </w:pPr>
      <w:r>
        <w:rPr/>
        <w:t>2.</w:t>
        <w:tab/>
        <w:t>工作内容(包括但不限于):</w:t>
      </w:r>
    </w:p>
    <w:p>
      <w:pPr>
        <w:pStyle w:val="Heading9"/>
        <w:spacing w:line="364" w:lineRule="auto" w:before="160"/>
        <w:ind w:right="989"/>
      </w:pPr>
      <w:r>
        <w:rPr/>
        <w:t>（1）负责分布式屋顶光伏项目光伏发电区域内的发电设施10千伏线路及变压器、光伏组件、支架、逆变器、并网柜、配电柜、工器具、建筑物等资产的运行、维护、检修及日常巡检管理；低值易耗品的购置、管理及保障，生产安全管理；以及屋顶光伏电站范围内设备消防等。</w:t>
      </w:r>
    </w:p>
    <w:p>
      <w:pPr>
        <w:pStyle w:val="Heading9"/>
        <w:spacing w:line="364" w:lineRule="auto"/>
        <w:ind w:right="989"/>
      </w:pPr>
      <w:r>
        <w:rPr/>
        <w:t>（2）电站内设备日常维护、消缺和巡视；电站与外网联接线的巡视；并网协助， 编制运规、检规。</w:t>
      </w:r>
    </w:p>
    <w:p>
      <w:pPr>
        <w:pStyle w:val="Heading9"/>
        <w:spacing w:line="364" w:lineRule="auto"/>
        <w:ind w:right="989"/>
      </w:pPr>
      <w:r>
        <w:rPr/>
        <w:t>（3）当地技术监督局、环保局、安监局的技术监督，气象局的防雷接地检测、相关单位进行站内高、低压设备的定期检修、试验预试、当地电网公司完成配套输电工程的运行、维护和日常管理、相关政府职能部门的检查活动等协调、配合工作(由甲方主导，乙方协助甲方开展工作)。</w:t>
      </w:r>
    </w:p>
    <w:p>
      <w:pPr>
        <w:pStyle w:val="Heading9"/>
        <w:spacing w:line="364" w:lineRule="auto"/>
        <w:ind w:right="989"/>
      </w:pPr>
      <w:r>
        <w:rPr/>
        <w:t>（4）定期巡回检查，查看设备运行状况，排查设备故障、缺陷处理、事故抢修、组件清洗等。</w:t>
      </w:r>
    </w:p>
    <w:p>
      <w:pPr>
        <w:spacing w:after="0" w:line="364" w:lineRule="auto"/>
        <w:sectPr>
          <w:pgSz w:w="11910" w:h="16840"/>
          <w:pgMar w:header="0" w:footer="770" w:top="1360" w:bottom="960" w:left="1300" w:right="500"/>
        </w:sectPr>
      </w:pPr>
    </w:p>
    <w:p>
      <w:pPr>
        <w:pStyle w:val="Heading9"/>
        <w:spacing w:line="362" w:lineRule="auto" w:before="41"/>
        <w:ind w:right="989"/>
      </w:pPr>
      <w:r>
        <w:rPr/>
        <w:t>（5）安全目标：控制年度死亡、重伤安全事故为零，控制年度重大人为设备设施故障事故为零。若出现上述安全事故和设备设施故障事故所产生的责任由乙方承担；</w:t>
      </w:r>
    </w:p>
    <w:p>
      <w:pPr>
        <w:pStyle w:val="Heading9"/>
        <w:spacing w:before="5"/>
        <w:ind w:left="595" w:firstLine="0"/>
      </w:pPr>
      <w:r>
        <w:rPr/>
        <w:t>（6）管理目标：实现连续、安全、平稳、优质发电。</w:t>
      </w:r>
    </w:p>
    <w:p>
      <w:pPr>
        <w:pStyle w:val="Heading9"/>
        <w:spacing w:line="364" w:lineRule="auto" w:before="158"/>
        <w:ind w:right="989"/>
      </w:pPr>
      <w:r>
        <w:rPr/>
        <w:t>（7）建立健全各类运行维护管理体系和制度，以符合国家及行业有关运维工作的规定。</w:t>
      </w:r>
    </w:p>
    <w:p>
      <w:pPr>
        <w:pStyle w:val="Heading9"/>
        <w:spacing w:line="306" w:lineRule="exact"/>
        <w:ind w:left="595" w:firstLine="0"/>
      </w:pPr>
      <w:r>
        <w:rPr/>
        <w:t>（8）健全技术文件管理体系，包括目标电站的设备技术档案、运行规程、系统图</w:t>
      </w:r>
    </w:p>
    <w:p>
      <w:pPr>
        <w:pStyle w:val="Heading9"/>
        <w:spacing w:before="161"/>
        <w:ind w:firstLine="0"/>
      </w:pPr>
      <w:r>
        <w:rPr/>
        <w:t>、管理记录表格等技术文件的建立与保管。</w:t>
      </w:r>
    </w:p>
    <w:p>
      <w:pPr>
        <w:pStyle w:val="Heading9"/>
        <w:spacing w:before="158"/>
        <w:ind w:left="595" w:firstLine="0"/>
      </w:pPr>
      <w:r>
        <w:rPr/>
        <w:t>（9）健全各类台账，包括:运行日志表、巡检记录表、故障记录表、缺陷统计表</w:t>
      </w:r>
    </w:p>
    <w:p>
      <w:pPr>
        <w:pStyle w:val="Heading9"/>
        <w:spacing w:before="160"/>
        <w:ind w:firstLine="0"/>
      </w:pPr>
      <w:r>
        <w:rPr/>
        <w:t>、备品备件清单使用记录。</w:t>
      </w:r>
    </w:p>
    <w:p>
      <w:pPr>
        <w:pStyle w:val="Heading8"/>
        <w:spacing w:before="158"/>
        <w:ind w:left="747"/>
      </w:pPr>
      <w:r>
        <w:rPr/>
        <w:t>(二）、技改、更新及维修服务要求:</w:t>
      </w:r>
    </w:p>
    <w:p>
      <w:pPr>
        <w:pStyle w:val="Heading9"/>
        <w:spacing w:line="364" w:lineRule="auto" w:before="161"/>
        <w:ind w:right="1109"/>
        <w:jc w:val="both"/>
      </w:pPr>
      <w:r>
        <w:rPr/>
        <w:t>因中标人原因造成的设备损坏，由中标人负责更换并承担相关费用；若招标人进行光伏电站技改、更新、大修或非中标中标人造成设备损坏处理，招标人承担设备费用，中标人负责维修、更新。</w:t>
      </w:r>
    </w:p>
    <w:p>
      <w:pPr>
        <w:pStyle w:val="Heading9"/>
        <w:spacing w:line="307" w:lineRule="exact"/>
        <w:ind w:left="595" w:firstLine="0"/>
      </w:pPr>
      <w:r>
        <w:rPr/>
        <w:t>中标人进行常规性检修维护工作，并承担故障处理后相应的试验费用。</w:t>
      </w:r>
    </w:p>
    <w:p>
      <w:pPr>
        <w:pStyle w:val="Heading9"/>
        <w:spacing w:line="364" w:lineRule="auto" w:before="158"/>
        <w:ind w:right="1109"/>
      </w:pPr>
      <w:r>
        <w:rPr/>
        <w:t>中标人负责评估任何设备失灵及类似问题的性质和影响，一般1日内，最迟5日内拿出处理方案、进度、修复预算费用等（特殊情况双方协商解决）。</w:t>
      </w:r>
    </w:p>
    <w:p>
      <w:pPr>
        <w:pStyle w:val="Heading9"/>
        <w:spacing w:line="362" w:lineRule="auto"/>
        <w:ind w:right="1109"/>
      </w:pPr>
      <w:r>
        <w:rPr/>
        <w:t>中标人负责制订光伏电站设备大修、电气预防性试验项目、进度、费用计划，并组织实施。</w:t>
      </w:r>
    </w:p>
    <w:p>
      <w:pPr>
        <w:pStyle w:val="Heading9"/>
        <w:spacing w:before="4"/>
        <w:ind w:left="595" w:firstLine="0"/>
      </w:pPr>
      <w:r>
        <w:rPr/>
        <w:t>中标人负责向招标人提出关于对设备进行完善和改进建议。</w:t>
      </w:r>
    </w:p>
    <w:p>
      <w:pPr>
        <w:pStyle w:val="Heading9"/>
        <w:spacing w:line="364" w:lineRule="auto" w:before="160"/>
        <w:ind w:right="989"/>
      </w:pPr>
      <w:r>
        <w:rPr/>
        <w:t>如果发生需要进行非常规维修的情况，中标人应在事件发生后24小时内书面报告招标人，同时将此工作的费用估算通知招标人，招标人应书面通知中标人，是否同意进行该非常规性维修。在未得到招标人书面批准前,中标人将不进行任何维修。若紧急情况，可在得到招标人口头批准后,中标人尽快进行相关工作。</w:t>
      </w:r>
    </w:p>
    <w:p>
      <w:pPr>
        <w:pStyle w:val="Heading8"/>
        <w:spacing w:line="305" w:lineRule="exact"/>
      </w:pPr>
      <w:r>
        <w:rPr/>
        <w:t>（三）事故处理和应急响应服务</w:t>
      </w:r>
    </w:p>
    <w:p>
      <w:pPr>
        <w:pStyle w:val="Heading9"/>
        <w:spacing w:line="362" w:lineRule="auto" w:before="161"/>
        <w:ind w:right="989"/>
      </w:pPr>
      <w:r>
        <w:rPr/>
        <w:t>现场发生应急响应及事故时，中标人2小时内到达现场解决处理；具有应急预案和处置方案等。发生电网紧急情况时，在符合法律法规、电力行业惯例和技术限制的情况下，依照购售电合同和并网调度协议规定服从调度命令。</w:t>
      </w:r>
    </w:p>
    <w:p>
      <w:pPr>
        <w:pStyle w:val="Heading9"/>
        <w:spacing w:line="364" w:lineRule="auto" w:before="6"/>
        <w:ind w:right="989"/>
      </w:pPr>
      <w:r>
        <w:rPr/>
        <w:t>目标资产的管理、安全（包括设备运行安全和人员安全）、运行、检修（含设备的消缺并在48小时内完成、定期检查）、清洗（每年不少于2次，根据实际情况安排清洗计划）、清除积雪（雪停后3天内完成），应做好目标资产的日常维护、常规检修和</w:t>
      </w:r>
    </w:p>
    <w:p>
      <w:pPr>
        <w:spacing w:after="0" w:line="364" w:lineRule="auto"/>
        <w:sectPr>
          <w:pgSz w:w="11910" w:h="16840"/>
          <w:pgMar w:header="0" w:footer="770" w:top="1360" w:bottom="960" w:left="1300" w:right="500"/>
        </w:sectPr>
      </w:pPr>
    </w:p>
    <w:p>
      <w:pPr>
        <w:pStyle w:val="Heading9"/>
        <w:spacing w:line="362" w:lineRule="auto" w:before="41"/>
        <w:ind w:right="1109" w:firstLine="0"/>
        <w:jc w:val="both"/>
      </w:pPr>
      <w:r>
        <w:rPr/>
        <w:t>事故抢修等工作，及时处理委托设备设施的运行问题，确保目标资产安全可靠运行； 文明生产等方面的工作。</w:t>
      </w:r>
    </w:p>
    <w:p>
      <w:pPr>
        <w:pStyle w:val="Heading8"/>
        <w:spacing w:before="5"/>
      </w:pPr>
      <w:r>
        <w:rPr/>
        <w:t>（四）管理制度</w:t>
      </w:r>
    </w:p>
    <w:p>
      <w:pPr>
        <w:pStyle w:val="Heading9"/>
        <w:spacing w:before="158"/>
        <w:ind w:left="718" w:firstLine="0"/>
      </w:pPr>
      <w:r>
        <w:rPr/>
        <w:t>日常管理包括但不限于以下管理要求和制度要求：</w:t>
      </w:r>
    </w:p>
    <w:p>
      <w:pPr>
        <w:pStyle w:val="Heading9"/>
        <w:spacing w:line="364" w:lineRule="auto" w:before="161"/>
        <w:ind w:right="1109"/>
        <w:jc w:val="both"/>
      </w:pPr>
      <w:r>
        <w:rPr/>
        <w:t>光伏电站的设备管理：包括建立设备可靠性管理标准、技术改造管理标准等设备类管理制度；为提高光伏组件的发电效率，中标人应根据光伏组件表面污秽情况和发电效率的实际情况对光伏组件进行清洁。</w:t>
      </w:r>
    </w:p>
    <w:p>
      <w:pPr>
        <w:pStyle w:val="Heading9"/>
        <w:spacing w:line="305" w:lineRule="exact"/>
        <w:ind w:left="595" w:firstLine="0"/>
      </w:pPr>
      <w:r>
        <w:rPr/>
        <w:t>人员管理：包括建立组织绩效考核和员工绩效考核管理标准等；</w:t>
      </w:r>
    </w:p>
    <w:p>
      <w:pPr>
        <w:pStyle w:val="Heading9"/>
        <w:spacing w:line="364" w:lineRule="auto" w:before="160"/>
        <w:ind w:right="1109" w:firstLine="0"/>
        <w:jc w:val="both"/>
      </w:pPr>
      <w:r>
        <w:rPr/>
        <w:t>备品备件管理：备品备件包括（设备、设施的替换零件、部件或零部件组合，包括电池组件、逆变器、汇流箱、断路器、变压器、继保、通讯等设备所需零部件）负责工器具、备品备件的仓储管理、现场使用的安全管理。中标人负责光伏电站的安全工器具、电测仪表检测。</w:t>
      </w:r>
    </w:p>
    <w:p>
      <w:pPr>
        <w:pStyle w:val="Heading9"/>
        <w:spacing w:line="305" w:lineRule="exact"/>
        <w:ind w:left="595" w:firstLine="0"/>
      </w:pPr>
      <w:r>
        <w:rPr/>
        <w:t>文明生产管理：现场人员都要有安全帽及工作服等劳保用品。</w:t>
      </w:r>
    </w:p>
    <w:p>
      <w:pPr>
        <w:pStyle w:val="Heading9"/>
        <w:spacing w:line="364" w:lineRule="auto" w:before="161"/>
        <w:ind w:right="1109"/>
        <w:jc w:val="both"/>
      </w:pPr>
      <w:r>
        <w:rPr/>
        <w:t>安全管理：两票管理、安全工器具管理、安全教育管理等；中标人对光伏电站的安全工作负责，是目标资产运行维护和缺陷管理的责任单位，是电力生产事故的责任归属单位。中标人应依据国家、行业标准相关标准建立健全光伏电站现场安全生产的各项规程和管理措施，强化现场工作人员的安全意识，杜绝各种事故的发生，保证光伏电站安全、稳定的运行。</w:t>
      </w:r>
    </w:p>
    <w:p>
      <w:pPr>
        <w:pStyle w:val="Heading9"/>
        <w:spacing w:line="364" w:lineRule="auto"/>
        <w:ind w:right="869"/>
      </w:pPr>
      <w:r>
        <w:rPr/>
        <w:t>档案管理：中标人应保证所有光伏设备运行数据（包括电子数据）的完整和准确， 并妥善保存。按照档案的分类与编号原则、方法、类目代码、类目设置、归档范围及 保管期限进行归档管理；保存光伏电站设备规格参数资料、生产运行期安全生产管理 资料以及工程竣工资料。在现场保存运行记录等安全生产管理文件，并允许招标人随 时查阅。为了招标人运行数据的保密及数据对外统一，中标人只向招标人联络代表提 供数据报表，不向其它任何部门提供运行数据。（中标人接到招标人联络代表书面签 字通知后，方可向招标人以外的单位提供其它文件数据资料）；协助招标人对招标人 固定资产进行清查、核算和备案等工作。</w:t>
      </w:r>
    </w:p>
    <w:p>
      <w:pPr>
        <w:pStyle w:val="Heading8"/>
        <w:spacing w:line="303" w:lineRule="exact"/>
      </w:pPr>
      <w:r>
        <w:rPr/>
        <w:t>（五）人员要求：</w:t>
      </w:r>
    </w:p>
    <w:p>
      <w:pPr>
        <w:pStyle w:val="Heading9"/>
        <w:spacing w:line="362" w:lineRule="auto" w:before="156"/>
        <w:ind w:right="1109"/>
      </w:pPr>
      <w:r>
        <w:rPr/>
        <w:t>为保证现场运维水平，生产人员配置具备光伏发电等其他发电类行业内电气专业经验的人员进行运维，光伏电站运维人员持证要求项目负责人具有电力工程专业或电</w:t>
      </w:r>
    </w:p>
    <w:p>
      <w:pPr>
        <w:spacing w:after="0" w:line="362" w:lineRule="auto"/>
        <w:sectPr>
          <w:pgSz w:w="11910" w:h="16840"/>
          <w:pgMar w:header="0" w:footer="770" w:top="1360" w:bottom="960" w:left="1300" w:right="500"/>
        </w:sectPr>
      </w:pPr>
    </w:p>
    <w:p>
      <w:pPr>
        <w:pStyle w:val="Heading9"/>
        <w:spacing w:line="362" w:lineRule="auto" w:before="41"/>
        <w:ind w:right="1109" w:firstLine="0"/>
      </w:pPr>
      <w:r>
        <w:rPr/>
        <w:t>气专业工程技术职称1名，其余运维人员要求持有高压电工程至少1名、低压电工证至少1名、高空作业证至少1名，持有安全培训合格证书的至少1名。</w:t>
      </w:r>
    </w:p>
    <w:p>
      <w:pPr>
        <w:pStyle w:val="Heading8"/>
        <w:spacing w:line="362" w:lineRule="auto" w:before="5"/>
        <w:ind w:left="115" w:right="1076" w:firstLine="480"/>
      </w:pPr>
      <w:r>
        <w:rPr/>
        <w:t>注：以上所有要求均为实质性要求，有一项不响应的为无效投标；所有服务要求均可以优于招标文件</w:t>
      </w:r>
    </w:p>
    <w:p>
      <w:pPr>
        <w:pStyle w:val="Heading6"/>
        <w:spacing w:before="6"/>
        <w:ind w:left="115"/>
      </w:pPr>
      <w:r>
        <w:rPr/>
        <w:t>二、商务要求</w:t>
      </w:r>
    </w:p>
    <w:p>
      <w:pPr>
        <w:pStyle w:val="Heading9"/>
        <w:spacing w:before="185"/>
        <w:ind w:left="595" w:firstLine="0"/>
      </w:pPr>
      <w:r>
        <w:rPr/>
        <w:t>1、投标报价：中标人投标报价超过项目最高限价的响应无效。</w:t>
      </w:r>
    </w:p>
    <w:p>
      <w:pPr>
        <w:pStyle w:val="Heading9"/>
        <w:spacing w:before="158"/>
        <w:ind w:left="595" w:firstLine="0"/>
      </w:pPr>
      <w:r>
        <w:rPr/>
        <w:t>2、服务期限：自签订合同之日起共计三年。</w:t>
      </w:r>
    </w:p>
    <w:p>
      <w:pPr>
        <w:pStyle w:val="Heading9"/>
        <w:spacing w:before="161"/>
        <w:ind w:left="595" w:firstLine="0"/>
      </w:pPr>
      <w:r>
        <w:rPr/>
        <w:t>3、质量标准：合格。</w:t>
      </w:r>
    </w:p>
    <w:p>
      <w:pPr>
        <w:pStyle w:val="Heading9"/>
        <w:spacing w:before="158"/>
        <w:ind w:left="595" w:firstLine="0"/>
      </w:pPr>
      <w:r>
        <w:rPr/>
        <w:t>4、投标有效期：90 天(自投标人递交投标文件截止之日开始计算)。</w:t>
      </w:r>
    </w:p>
    <w:p>
      <w:pPr>
        <w:pStyle w:val="Heading9"/>
        <w:spacing w:line="364" w:lineRule="auto" w:before="160"/>
        <w:ind w:right="989"/>
      </w:pPr>
      <w:r>
        <w:rPr/>
        <w:t>5、资金结算：中标人完成发电计划，及时获取电量，实际以关口计量表、交易结算、供电公司结算电量及考核评价情况为准。保证屋顶光伏电站发电量不低于1500小时/千瓦/年(不可抗力因素除外)。具体以合同签订时为准。</w:t>
      </w:r>
    </w:p>
    <w:p>
      <w:pPr>
        <w:pStyle w:val="Heading8"/>
        <w:spacing w:line="304" w:lineRule="exact"/>
        <w:ind w:left="355"/>
      </w:pPr>
      <w:r>
        <w:rPr/>
        <w:t>注：以上商务条款中的所有要求均为商务实质性要求，有一项不响应的为无效投标</w:t>
      </w:r>
    </w:p>
    <w:p>
      <w:pPr>
        <w:pStyle w:val="Heading8"/>
        <w:spacing w:line="364" w:lineRule="auto" w:before="161"/>
        <w:ind w:right="5408" w:hanging="480"/>
      </w:pPr>
      <w:r>
        <w:rPr/>
        <w:t>；所有商务条款均可以优于招标文件要求。三、技术考核及要求</w:t>
      </w:r>
    </w:p>
    <w:p>
      <w:pPr>
        <w:pStyle w:val="Heading8"/>
        <w:spacing w:line="306" w:lineRule="exact"/>
      </w:pPr>
      <w:r>
        <w:rPr/>
        <w:t>（一）考核指标</w:t>
      </w:r>
    </w:p>
    <w:p>
      <w:pPr>
        <w:pStyle w:val="Heading8"/>
        <w:spacing w:before="158"/>
        <w:ind w:left="507"/>
      </w:pPr>
      <w:r>
        <w:rPr/>
        <w:t>A.安全及可靠性考核指标表</w:t>
      </w:r>
    </w:p>
    <w:p>
      <w:pPr>
        <w:pStyle w:val="BodyText"/>
        <w:spacing w:before="5" w:after="1"/>
        <w:rPr>
          <w:b/>
          <w:sz w:val="12"/>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6"/>
        <w:gridCol w:w="4150"/>
        <w:gridCol w:w="950"/>
        <w:gridCol w:w="1180"/>
        <w:gridCol w:w="1352"/>
      </w:tblGrid>
      <w:tr>
        <w:trPr>
          <w:trHeight w:val="619" w:hRule="atLeast"/>
        </w:trPr>
        <w:tc>
          <w:tcPr>
            <w:tcW w:w="5596" w:type="dxa"/>
            <w:gridSpan w:val="2"/>
          </w:tcPr>
          <w:p>
            <w:pPr>
              <w:pStyle w:val="TableParagraph"/>
              <w:spacing w:before="77"/>
              <w:ind w:left="2297" w:right="2288"/>
              <w:jc w:val="center"/>
              <w:rPr>
                <w:sz w:val="24"/>
              </w:rPr>
            </w:pPr>
            <w:r>
              <w:rPr>
                <w:sz w:val="24"/>
              </w:rPr>
              <w:t>指标名称</w:t>
            </w:r>
          </w:p>
        </w:tc>
        <w:tc>
          <w:tcPr>
            <w:tcW w:w="950" w:type="dxa"/>
          </w:tcPr>
          <w:p>
            <w:pPr>
              <w:pStyle w:val="TableParagraph"/>
              <w:spacing w:before="77"/>
              <w:ind w:left="215" w:right="205"/>
              <w:jc w:val="center"/>
              <w:rPr>
                <w:sz w:val="24"/>
              </w:rPr>
            </w:pPr>
            <w:r>
              <w:rPr>
                <w:sz w:val="24"/>
              </w:rPr>
              <w:t>单位</w:t>
            </w:r>
          </w:p>
        </w:tc>
        <w:tc>
          <w:tcPr>
            <w:tcW w:w="1180" w:type="dxa"/>
          </w:tcPr>
          <w:p>
            <w:pPr>
              <w:pStyle w:val="TableParagraph"/>
              <w:spacing w:before="77"/>
              <w:ind w:left="210" w:right="199"/>
              <w:jc w:val="center"/>
              <w:rPr>
                <w:sz w:val="24"/>
              </w:rPr>
            </w:pPr>
            <w:r>
              <w:rPr>
                <w:sz w:val="24"/>
              </w:rPr>
              <w:t>目标值</w:t>
            </w:r>
          </w:p>
        </w:tc>
        <w:tc>
          <w:tcPr>
            <w:tcW w:w="1352" w:type="dxa"/>
          </w:tcPr>
          <w:p>
            <w:pPr>
              <w:pStyle w:val="TableParagraph"/>
              <w:spacing w:before="77"/>
              <w:ind w:left="195"/>
              <w:rPr>
                <w:sz w:val="24"/>
              </w:rPr>
            </w:pPr>
            <w:r>
              <w:rPr>
                <w:sz w:val="24"/>
              </w:rPr>
              <w:t>备注说明</w:t>
            </w:r>
          </w:p>
        </w:tc>
      </w:tr>
      <w:tr>
        <w:trPr>
          <w:trHeight w:val="538" w:hRule="atLeast"/>
        </w:trPr>
        <w:tc>
          <w:tcPr>
            <w:tcW w:w="1446"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1"/>
              <w:rPr>
                <w:b/>
                <w:sz w:val="32"/>
              </w:rPr>
            </w:pPr>
          </w:p>
          <w:p>
            <w:pPr>
              <w:pStyle w:val="TableParagraph"/>
              <w:ind w:left="241"/>
              <w:rPr>
                <w:sz w:val="24"/>
              </w:rPr>
            </w:pPr>
            <w:r>
              <w:rPr>
                <w:sz w:val="24"/>
              </w:rPr>
              <w:t>安全指标</w:t>
            </w:r>
          </w:p>
        </w:tc>
        <w:tc>
          <w:tcPr>
            <w:tcW w:w="4150" w:type="dxa"/>
          </w:tcPr>
          <w:p>
            <w:pPr>
              <w:pStyle w:val="TableParagraph"/>
              <w:spacing w:before="36"/>
              <w:ind w:left="108"/>
              <w:rPr>
                <w:sz w:val="24"/>
              </w:rPr>
            </w:pPr>
            <w:r>
              <w:rPr>
                <w:sz w:val="24"/>
              </w:rPr>
              <w:t>不发生人身重伤及以上事故</w:t>
            </w:r>
          </w:p>
        </w:tc>
        <w:tc>
          <w:tcPr>
            <w:tcW w:w="950" w:type="dxa"/>
          </w:tcPr>
          <w:p>
            <w:pPr>
              <w:pStyle w:val="TableParagraph"/>
              <w:spacing w:before="36"/>
              <w:ind w:left="10"/>
              <w:jc w:val="center"/>
              <w:rPr>
                <w:sz w:val="24"/>
              </w:rPr>
            </w:pPr>
            <w:r>
              <w:rPr>
                <w:sz w:val="24"/>
              </w:rPr>
              <w:t>次</w:t>
            </w:r>
          </w:p>
        </w:tc>
        <w:tc>
          <w:tcPr>
            <w:tcW w:w="1180" w:type="dxa"/>
          </w:tcPr>
          <w:p>
            <w:pPr>
              <w:pStyle w:val="TableParagraph"/>
              <w:spacing w:before="36"/>
              <w:ind w:left="11"/>
              <w:jc w:val="center"/>
              <w:rPr>
                <w:sz w:val="24"/>
              </w:rPr>
            </w:pPr>
            <w:r>
              <w:rPr>
                <w:sz w:val="24"/>
              </w:rPr>
              <w:t>0</w:t>
            </w:r>
          </w:p>
        </w:tc>
        <w:tc>
          <w:tcPr>
            <w:tcW w:w="1352" w:type="dxa"/>
          </w:tcPr>
          <w:p>
            <w:pPr>
              <w:pStyle w:val="TableParagraph"/>
              <w:rPr>
                <w:rFonts w:ascii="Times New Roman"/>
                <w:sz w:val="24"/>
              </w:rPr>
            </w:pPr>
          </w:p>
        </w:tc>
      </w:tr>
      <w:tr>
        <w:trPr>
          <w:trHeight w:val="539" w:hRule="atLeast"/>
        </w:trPr>
        <w:tc>
          <w:tcPr>
            <w:tcW w:w="1446" w:type="dxa"/>
            <w:vMerge/>
            <w:tcBorders>
              <w:top w:val="nil"/>
            </w:tcBorders>
          </w:tcPr>
          <w:p>
            <w:pPr>
              <w:rPr>
                <w:sz w:val="2"/>
                <w:szCs w:val="2"/>
              </w:rPr>
            </w:pPr>
          </w:p>
        </w:tc>
        <w:tc>
          <w:tcPr>
            <w:tcW w:w="4150" w:type="dxa"/>
          </w:tcPr>
          <w:p>
            <w:pPr>
              <w:pStyle w:val="TableParagraph"/>
              <w:spacing w:before="37"/>
              <w:ind w:left="108"/>
              <w:rPr>
                <w:sz w:val="24"/>
              </w:rPr>
            </w:pPr>
            <w:r>
              <w:rPr>
                <w:sz w:val="24"/>
              </w:rPr>
              <w:t>不发生责任性一般及以上设备事故</w:t>
            </w:r>
          </w:p>
        </w:tc>
        <w:tc>
          <w:tcPr>
            <w:tcW w:w="950" w:type="dxa"/>
          </w:tcPr>
          <w:p>
            <w:pPr>
              <w:pStyle w:val="TableParagraph"/>
              <w:spacing w:before="37"/>
              <w:ind w:left="10"/>
              <w:jc w:val="center"/>
              <w:rPr>
                <w:sz w:val="24"/>
              </w:rPr>
            </w:pPr>
            <w:r>
              <w:rPr>
                <w:sz w:val="24"/>
              </w:rPr>
              <w:t>次</w:t>
            </w:r>
          </w:p>
        </w:tc>
        <w:tc>
          <w:tcPr>
            <w:tcW w:w="1180" w:type="dxa"/>
          </w:tcPr>
          <w:p>
            <w:pPr>
              <w:pStyle w:val="TableParagraph"/>
              <w:spacing w:before="37"/>
              <w:ind w:left="11"/>
              <w:jc w:val="center"/>
              <w:rPr>
                <w:sz w:val="24"/>
              </w:rPr>
            </w:pPr>
            <w:r>
              <w:rPr>
                <w:sz w:val="24"/>
              </w:rPr>
              <w:t>0</w:t>
            </w:r>
          </w:p>
        </w:tc>
        <w:tc>
          <w:tcPr>
            <w:tcW w:w="1352" w:type="dxa"/>
          </w:tcPr>
          <w:p>
            <w:pPr>
              <w:pStyle w:val="TableParagraph"/>
              <w:rPr>
                <w:rFonts w:ascii="Times New Roman"/>
                <w:sz w:val="24"/>
              </w:rPr>
            </w:pPr>
          </w:p>
        </w:tc>
      </w:tr>
      <w:tr>
        <w:trPr>
          <w:trHeight w:val="538" w:hRule="atLeast"/>
        </w:trPr>
        <w:tc>
          <w:tcPr>
            <w:tcW w:w="1446" w:type="dxa"/>
            <w:vMerge/>
            <w:tcBorders>
              <w:top w:val="nil"/>
            </w:tcBorders>
          </w:tcPr>
          <w:p>
            <w:pPr>
              <w:rPr>
                <w:sz w:val="2"/>
                <w:szCs w:val="2"/>
              </w:rPr>
            </w:pPr>
          </w:p>
        </w:tc>
        <w:tc>
          <w:tcPr>
            <w:tcW w:w="4150" w:type="dxa"/>
          </w:tcPr>
          <w:p>
            <w:pPr>
              <w:pStyle w:val="TableParagraph"/>
              <w:spacing w:before="37"/>
              <w:ind w:left="108"/>
              <w:rPr>
                <w:sz w:val="24"/>
              </w:rPr>
            </w:pPr>
            <w:r>
              <w:rPr>
                <w:sz w:val="24"/>
              </w:rPr>
              <w:t>不发生责任性误操作事故</w:t>
            </w:r>
          </w:p>
        </w:tc>
        <w:tc>
          <w:tcPr>
            <w:tcW w:w="950" w:type="dxa"/>
          </w:tcPr>
          <w:p>
            <w:pPr>
              <w:pStyle w:val="TableParagraph"/>
              <w:spacing w:before="37"/>
              <w:ind w:left="10"/>
              <w:jc w:val="center"/>
              <w:rPr>
                <w:sz w:val="24"/>
              </w:rPr>
            </w:pPr>
            <w:r>
              <w:rPr>
                <w:sz w:val="24"/>
              </w:rPr>
              <w:t>次</w:t>
            </w:r>
          </w:p>
        </w:tc>
        <w:tc>
          <w:tcPr>
            <w:tcW w:w="1180" w:type="dxa"/>
          </w:tcPr>
          <w:p>
            <w:pPr>
              <w:pStyle w:val="TableParagraph"/>
              <w:spacing w:before="37"/>
              <w:ind w:left="11"/>
              <w:jc w:val="center"/>
              <w:rPr>
                <w:sz w:val="24"/>
              </w:rPr>
            </w:pPr>
            <w:r>
              <w:rPr>
                <w:sz w:val="24"/>
              </w:rPr>
              <w:t>0</w:t>
            </w:r>
          </w:p>
        </w:tc>
        <w:tc>
          <w:tcPr>
            <w:tcW w:w="1352" w:type="dxa"/>
          </w:tcPr>
          <w:p>
            <w:pPr>
              <w:pStyle w:val="TableParagraph"/>
              <w:rPr>
                <w:rFonts w:ascii="Times New Roman"/>
                <w:sz w:val="24"/>
              </w:rPr>
            </w:pPr>
          </w:p>
        </w:tc>
      </w:tr>
      <w:tr>
        <w:trPr>
          <w:trHeight w:val="539" w:hRule="atLeast"/>
        </w:trPr>
        <w:tc>
          <w:tcPr>
            <w:tcW w:w="1446" w:type="dxa"/>
            <w:vMerge/>
            <w:tcBorders>
              <w:top w:val="nil"/>
            </w:tcBorders>
          </w:tcPr>
          <w:p>
            <w:pPr>
              <w:rPr>
                <w:sz w:val="2"/>
                <w:szCs w:val="2"/>
              </w:rPr>
            </w:pPr>
          </w:p>
        </w:tc>
        <w:tc>
          <w:tcPr>
            <w:tcW w:w="4150" w:type="dxa"/>
          </w:tcPr>
          <w:p>
            <w:pPr>
              <w:pStyle w:val="TableParagraph"/>
              <w:spacing w:before="36"/>
              <w:ind w:left="108"/>
              <w:rPr>
                <w:sz w:val="24"/>
              </w:rPr>
            </w:pPr>
            <w:r>
              <w:rPr>
                <w:sz w:val="24"/>
              </w:rPr>
              <w:t>不发生负同等及以上责任的交通事故</w:t>
            </w:r>
          </w:p>
        </w:tc>
        <w:tc>
          <w:tcPr>
            <w:tcW w:w="950" w:type="dxa"/>
          </w:tcPr>
          <w:p>
            <w:pPr>
              <w:pStyle w:val="TableParagraph"/>
              <w:spacing w:before="36"/>
              <w:ind w:left="10"/>
              <w:jc w:val="center"/>
              <w:rPr>
                <w:sz w:val="24"/>
              </w:rPr>
            </w:pPr>
            <w:r>
              <w:rPr>
                <w:sz w:val="24"/>
              </w:rPr>
              <w:t>次</w:t>
            </w:r>
          </w:p>
        </w:tc>
        <w:tc>
          <w:tcPr>
            <w:tcW w:w="1180" w:type="dxa"/>
          </w:tcPr>
          <w:p>
            <w:pPr>
              <w:pStyle w:val="TableParagraph"/>
              <w:spacing w:before="36"/>
              <w:ind w:left="11"/>
              <w:jc w:val="center"/>
              <w:rPr>
                <w:sz w:val="24"/>
              </w:rPr>
            </w:pPr>
            <w:r>
              <w:rPr>
                <w:sz w:val="24"/>
              </w:rPr>
              <w:t>0</w:t>
            </w:r>
          </w:p>
        </w:tc>
        <w:tc>
          <w:tcPr>
            <w:tcW w:w="1352" w:type="dxa"/>
          </w:tcPr>
          <w:p>
            <w:pPr>
              <w:pStyle w:val="TableParagraph"/>
              <w:rPr>
                <w:rFonts w:ascii="Times New Roman"/>
                <w:sz w:val="24"/>
              </w:rPr>
            </w:pPr>
          </w:p>
        </w:tc>
      </w:tr>
      <w:tr>
        <w:trPr>
          <w:trHeight w:val="538" w:hRule="atLeast"/>
        </w:trPr>
        <w:tc>
          <w:tcPr>
            <w:tcW w:w="1446" w:type="dxa"/>
            <w:vMerge/>
            <w:tcBorders>
              <w:top w:val="nil"/>
            </w:tcBorders>
          </w:tcPr>
          <w:p>
            <w:pPr>
              <w:rPr>
                <w:sz w:val="2"/>
                <w:szCs w:val="2"/>
              </w:rPr>
            </w:pPr>
          </w:p>
        </w:tc>
        <w:tc>
          <w:tcPr>
            <w:tcW w:w="4150" w:type="dxa"/>
          </w:tcPr>
          <w:p>
            <w:pPr>
              <w:pStyle w:val="TableParagraph"/>
              <w:spacing w:before="36"/>
              <w:ind w:left="108"/>
              <w:rPr>
                <w:sz w:val="24"/>
              </w:rPr>
            </w:pPr>
            <w:r>
              <w:rPr>
                <w:sz w:val="24"/>
              </w:rPr>
              <w:t>不发生责任性一般及以上火灾事故</w:t>
            </w:r>
          </w:p>
        </w:tc>
        <w:tc>
          <w:tcPr>
            <w:tcW w:w="950" w:type="dxa"/>
          </w:tcPr>
          <w:p>
            <w:pPr>
              <w:pStyle w:val="TableParagraph"/>
              <w:spacing w:before="36"/>
              <w:ind w:left="10"/>
              <w:jc w:val="center"/>
              <w:rPr>
                <w:sz w:val="24"/>
              </w:rPr>
            </w:pPr>
            <w:r>
              <w:rPr>
                <w:sz w:val="24"/>
              </w:rPr>
              <w:t>次</w:t>
            </w:r>
          </w:p>
        </w:tc>
        <w:tc>
          <w:tcPr>
            <w:tcW w:w="1180" w:type="dxa"/>
          </w:tcPr>
          <w:p>
            <w:pPr>
              <w:pStyle w:val="TableParagraph"/>
              <w:spacing w:before="36"/>
              <w:ind w:left="11"/>
              <w:jc w:val="center"/>
              <w:rPr>
                <w:sz w:val="24"/>
              </w:rPr>
            </w:pPr>
            <w:r>
              <w:rPr>
                <w:sz w:val="24"/>
              </w:rPr>
              <w:t>0</w:t>
            </w:r>
          </w:p>
        </w:tc>
        <w:tc>
          <w:tcPr>
            <w:tcW w:w="1352" w:type="dxa"/>
          </w:tcPr>
          <w:p>
            <w:pPr>
              <w:pStyle w:val="TableParagraph"/>
              <w:rPr>
                <w:rFonts w:ascii="Times New Roman"/>
                <w:sz w:val="24"/>
              </w:rPr>
            </w:pPr>
          </w:p>
        </w:tc>
      </w:tr>
      <w:tr>
        <w:trPr>
          <w:trHeight w:val="539" w:hRule="atLeast"/>
        </w:trPr>
        <w:tc>
          <w:tcPr>
            <w:tcW w:w="1446" w:type="dxa"/>
            <w:vMerge/>
            <w:tcBorders>
              <w:top w:val="nil"/>
            </w:tcBorders>
          </w:tcPr>
          <w:p>
            <w:pPr>
              <w:rPr>
                <w:sz w:val="2"/>
                <w:szCs w:val="2"/>
              </w:rPr>
            </w:pPr>
          </w:p>
        </w:tc>
        <w:tc>
          <w:tcPr>
            <w:tcW w:w="4150" w:type="dxa"/>
          </w:tcPr>
          <w:p>
            <w:pPr>
              <w:pStyle w:val="TableParagraph"/>
              <w:spacing w:before="37"/>
              <w:ind w:left="108"/>
              <w:rPr>
                <w:sz w:val="24"/>
              </w:rPr>
            </w:pPr>
            <w:r>
              <w:rPr>
                <w:sz w:val="24"/>
              </w:rPr>
              <w:t>不发生环境污染事故</w:t>
            </w:r>
          </w:p>
        </w:tc>
        <w:tc>
          <w:tcPr>
            <w:tcW w:w="950" w:type="dxa"/>
          </w:tcPr>
          <w:p>
            <w:pPr>
              <w:pStyle w:val="TableParagraph"/>
              <w:spacing w:before="37"/>
              <w:ind w:left="10"/>
              <w:jc w:val="center"/>
              <w:rPr>
                <w:sz w:val="24"/>
              </w:rPr>
            </w:pPr>
            <w:r>
              <w:rPr>
                <w:sz w:val="24"/>
              </w:rPr>
              <w:t>次</w:t>
            </w:r>
          </w:p>
        </w:tc>
        <w:tc>
          <w:tcPr>
            <w:tcW w:w="1180" w:type="dxa"/>
          </w:tcPr>
          <w:p>
            <w:pPr>
              <w:pStyle w:val="TableParagraph"/>
              <w:spacing w:before="37"/>
              <w:ind w:left="11"/>
              <w:jc w:val="center"/>
              <w:rPr>
                <w:sz w:val="24"/>
              </w:rPr>
            </w:pPr>
            <w:r>
              <w:rPr>
                <w:sz w:val="24"/>
              </w:rPr>
              <w:t>0</w:t>
            </w:r>
          </w:p>
        </w:tc>
        <w:tc>
          <w:tcPr>
            <w:tcW w:w="1352" w:type="dxa"/>
          </w:tcPr>
          <w:p>
            <w:pPr>
              <w:pStyle w:val="TableParagraph"/>
              <w:rPr>
                <w:rFonts w:ascii="Times New Roman"/>
                <w:sz w:val="24"/>
              </w:rPr>
            </w:pPr>
          </w:p>
        </w:tc>
      </w:tr>
      <w:tr>
        <w:trPr>
          <w:trHeight w:val="539" w:hRule="atLeast"/>
        </w:trPr>
        <w:tc>
          <w:tcPr>
            <w:tcW w:w="1446" w:type="dxa"/>
            <w:vMerge/>
            <w:tcBorders>
              <w:top w:val="nil"/>
            </w:tcBorders>
          </w:tcPr>
          <w:p>
            <w:pPr>
              <w:rPr>
                <w:sz w:val="2"/>
                <w:szCs w:val="2"/>
              </w:rPr>
            </w:pPr>
          </w:p>
        </w:tc>
        <w:tc>
          <w:tcPr>
            <w:tcW w:w="4150" w:type="dxa"/>
          </w:tcPr>
          <w:p>
            <w:pPr>
              <w:pStyle w:val="TableParagraph"/>
              <w:spacing w:before="37"/>
              <w:ind w:left="108"/>
              <w:rPr>
                <w:sz w:val="24"/>
              </w:rPr>
            </w:pPr>
            <w:r>
              <w:rPr>
                <w:sz w:val="24"/>
              </w:rPr>
              <w:t>不发生本单位负有责任的电网事故</w:t>
            </w:r>
          </w:p>
        </w:tc>
        <w:tc>
          <w:tcPr>
            <w:tcW w:w="950" w:type="dxa"/>
          </w:tcPr>
          <w:p>
            <w:pPr>
              <w:pStyle w:val="TableParagraph"/>
              <w:spacing w:before="37"/>
              <w:ind w:left="10"/>
              <w:jc w:val="center"/>
              <w:rPr>
                <w:sz w:val="24"/>
              </w:rPr>
            </w:pPr>
            <w:r>
              <w:rPr>
                <w:sz w:val="24"/>
              </w:rPr>
              <w:t>次</w:t>
            </w:r>
          </w:p>
        </w:tc>
        <w:tc>
          <w:tcPr>
            <w:tcW w:w="1180" w:type="dxa"/>
          </w:tcPr>
          <w:p>
            <w:pPr>
              <w:pStyle w:val="TableParagraph"/>
              <w:spacing w:before="37"/>
              <w:ind w:left="11"/>
              <w:jc w:val="center"/>
              <w:rPr>
                <w:sz w:val="24"/>
              </w:rPr>
            </w:pPr>
            <w:r>
              <w:rPr>
                <w:sz w:val="24"/>
              </w:rPr>
              <w:t>0</w:t>
            </w:r>
          </w:p>
        </w:tc>
        <w:tc>
          <w:tcPr>
            <w:tcW w:w="1352" w:type="dxa"/>
          </w:tcPr>
          <w:p>
            <w:pPr>
              <w:pStyle w:val="TableParagraph"/>
              <w:rPr>
                <w:rFonts w:ascii="Times New Roman"/>
                <w:sz w:val="24"/>
              </w:rPr>
            </w:pPr>
          </w:p>
        </w:tc>
      </w:tr>
      <w:tr>
        <w:trPr>
          <w:trHeight w:val="538" w:hRule="atLeast"/>
        </w:trPr>
        <w:tc>
          <w:tcPr>
            <w:tcW w:w="1446" w:type="dxa"/>
            <w:vMerge/>
            <w:tcBorders>
              <w:top w:val="nil"/>
            </w:tcBorders>
          </w:tcPr>
          <w:p>
            <w:pPr>
              <w:rPr>
                <w:sz w:val="2"/>
                <w:szCs w:val="2"/>
              </w:rPr>
            </w:pPr>
          </w:p>
        </w:tc>
        <w:tc>
          <w:tcPr>
            <w:tcW w:w="4150" w:type="dxa"/>
          </w:tcPr>
          <w:p>
            <w:pPr>
              <w:pStyle w:val="TableParagraph"/>
              <w:spacing w:before="36"/>
              <w:ind w:left="108"/>
              <w:rPr>
                <w:sz w:val="24"/>
              </w:rPr>
            </w:pPr>
            <w:r>
              <w:rPr>
                <w:sz w:val="24"/>
              </w:rPr>
              <w:t>不发生集体中毒事故</w:t>
            </w:r>
          </w:p>
        </w:tc>
        <w:tc>
          <w:tcPr>
            <w:tcW w:w="950" w:type="dxa"/>
          </w:tcPr>
          <w:p>
            <w:pPr>
              <w:pStyle w:val="TableParagraph"/>
              <w:spacing w:before="36"/>
              <w:ind w:left="10"/>
              <w:jc w:val="center"/>
              <w:rPr>
                <w:sz w:val="24"/>
              </w:rPr>
            </w:pPr>
            <w:r>
              <w:rPr>
                <w:sz w:val="24"/>
              </w:rPr>
              <w:t>次</w:t>
            </w:r>
          </w:p>
        </w:tc>
        <w:tc>
          <w:tcPr>
            <w:tcW w:w="1180" w:type="dxa"/>
          </w:tcPr>
          <w:p>
            <w:pPr>
              <w:pStyle w:val="TableParagraph"/>
              <w:spacing w:before="36"/>
              <w:ind w:left="11"/>
              <w:jc w:val="center"/>
              <w:rPr>
                <w:sz w:val="24"/>
              </w:rPr>
            </w:pPr>
            <w:r>
              <w:rPr>
                <w:sz w:val="24"/>
              </w:rPr>
              <w:t>0</w:t>
            </w:r>
          </w:p>
        </w:tc>
        <w:tc>
          <w:tcPr>
            <w:tcW w:w="1352" w:type="dxa"/>
          </w:tcPr>
          <w:p>
            <w:pPr>
              <w:pStyle w:val="TableParagraph"/>
              <w:rPr>
                <w:rFonts w:ascii="Times New Roman"/>
                <w:sz w:val="24"/>
              </w:rPr>
            </w:pPr>
          </w:p>
        </w:tc>
      </w:tr>
      <w:tr>
        <w:trPr>
          <w:trHeight w:val="537" w:hRule="atLeast"/>
        </w:trPr>
        <w:tc>
          <w:tcPr>
            <w:tcW w:w="1446" w:type="dxa"/>
          </w:tcPr>
          <w:p>
            <w:pPr>
              <w:pStyle w:val="TableParagraph"/>
              <w:spacing w:before="36"/>
              <w:ind w:left="121"/>
              <w:rPr>
                <w:sz w:val="24"/>
              </w:rPr>
            </w:pPr>
            <w:r>
              <w:rPr>
                <w:sz w:val="24"/>
              </w:rPr>
              <w:t>安全风险评</w:t>
            </w:r>
          </w:p>
        </w:tc>
        <w:tc>
          <w:tcPr>
            <w:tcW w:w="4150" w:type="dxa"/>
          </w:tcPr>
          <w:p>
            <w:pPr>
              <w:pStyle w:val="TableParagraph"/>
              <w:spacing w:before="36"/>
              <w:ind w:left="108"/>
              <w:rPr>
                <w:sz w:val="24"/>
              </w:rPr>
            </w:pPr>
            <w:r>
              <w:rPr>
                <w:sz w:val="24"/>
              </w:rPr>
              <w:t>管理性违章</w:t>
            </w:r>
          </w:p>
        </w:tc>
        <w:tc>
          <w:tcPr>
            <w:tcW w:w="950" w:type="dxa"/>
          </w:tcPr>
          <w:p>
            <w:pPr>
              <w:pStyle w:val="TableParagraph"/>
              <w:spacing w:before="36"/>
              <w:ind w:left="10"/>
              <w:jc w:val="center"/>
              <w:rPr>
                <w:sz w:val="24"/>
              </w:rPr>
            </w:pPr>
            <w:r>
              <w:rPr>
                <w:sz w:val="24"/>
              </w:rPr>
              <w:t>次</w:t>
            </w:r>
          </w:p>
        </w:tc>
        <w:tc>
          <w:tcPr>
            <w:tcW w:w="1180" w:type="dxa"/>
          </w:tcPr>
          <w:p>
            <w:pPr>
              <w:pStyle w:val="TableParagraph"/>
              <w:spacing w:before="36"/>
              <w:ind w:left="11"/>
              <w:jc w:val="center"/>
              <w:rPr>
                <w:sz w:val="24"/>
              </w:rPr>
            </w:pPr>
            <w:r>
              <w:rPr>
                <w:sz w:val="24"/>
              </w:rPr>
              <w:t>0</w:t>
            </w:r>
          </w:p>
        </w:tc>
        <w:tc>
          <w:tcPr>
            <w:tcW w:w="1352" w:type="dxa"/>
          </w:tcPr>
          <w:p>
            <w:pPr>
              <w:pStyle w:val="TableParagraph"/>
              <w:rPr>
                <w:rFonts w:ascii="Times New Roman"/>
                <w:sz w:val="24"/>
              </w:rPr>
            </w:pPr>
          </w:p>
        </w:tc>
      </w:tr>
    </w:tbl>
    <w:p>
      <w:pPr>
        <w:spacing w:after="0"/>
        <w:rPr>
          <w:rFonts w:ascii="Times New Roman"/>
          <w:sz w:val="24"/>
        </w:rPr>
        <w:sectPr>
          <w:pgSz w:w="11910" w:h="16840"/>
          <w:pgMar w:header="0" w:footer="770" w:top="1360" w:bottom="960" w:left="1300" w:right="50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6"/>
        <w:gridCol w:w="4150"/>
        <w:gridCol w:w="950"/>
        <w:gridCol w:w="1180"/>
        <w:gridCol w:w="1352"/>
      </w:tblGrid>
      <w:tr>
        <w:trPr>
          <w:trHeight w:val="538" w:hRule="atLeast"/>
        </w:trPr>
        <w:tc>
          <w:tcPr>
            <w:tcW w:w="1446" w:type="dxa"/>
            <w:vMerge w:val="restart"/>
          </w:tcPr>
          <w:p>
            <w:pPr>
              <w:pStyle w:val="TableParagraph"/>
              <w:spacing w:before="2"/>
              <w:ind w:left="361"/>
              <w:rPr>
                <w:sz w:val="24"/>
              </w:rPr>
            </w:pPr>
            <w:r>
              <w:rPr>
                <w:sz w:val="24"/>
              </w:rPr>
              <w:t>估指标</w:t>
            </w:r>
          </w:p>
        </w:tc>
        <w:tc>
          <w:tcPr>
            <w:tcW w:w="4150" w:type="dxa"/>
          </w:tcPr>
          <w:p>
            <w:pPr>
              <w:pStyle w:val="TableParagraph"/>
              <w:spacing w:before="38"/>
              <w:ind w:left="108"/>
              <w:rPr>
                <w:sz w:val="24"/>
              </w:rPr>
            </w:pPr>
            <w:r>
              <w:rPr>
                <w:sz w:val="24"/>
              </w:rPr>
              <w:t>装置性违章</w:t>
            </w:r>
          </w:p>
        </w:tc>
        <w:tc>
          <w:tcPr>
            <w:tcW w:w="950" w:type="dxa"/>
          </w:tcPr>
          <w:p>
            <w:pPr>
              <w:pStyle w:val="TableParagraph"/>
              <w:spacing w:before="38"/>
              <w:ind w:right="342"/>
              <w:jc w:val="right"/>
              <w:rPr>
                <w:sz w:val="24"/>
              </w:rPr>
            </w:pPr>
            <w:r>
              <w:rPr>
                <w:sz w:val="24"/>
              </w:rPr>
              <w:t>次</w:t>
            </w:r>
          </w:p>
        </w:tc>
        <w:tc>
          <w:tcPr>
            <w:tcW w:w="1180" w:type="dxa"/>
          </w:tcPr>
          <w:p>
            <w:pPr>
              <w:pStyle w:val="TableParagraph"/>
              <w:spacing w:before="38"/>
              <w:ind w:left="11"/>
              <w:jc w:val="center"/>
              <w:rPr>
                <w:sz w:val="24"/>
              </w:rPr>
            </w:pPr>
            <w:r>
              <w:rPr>
                <w:sz w:val="24"/>
              </w:rPr>
              <w:t>0</w:t>
            </w:r>
          </w:p>
        </w:tc>
        <w:tc>
          <w:tcPr>
            <w:tcW w:w="1352" w:type="dxa"/>
          </w:tcPr>
          <w:p>
            <w:pPr>
              <w:pStyle w:val="TableParagraph"/>
              <w:rPr>
                <w:rFonts w:ascii="Times New Roman"/>
                <w:sz w:val="22"/>
              </w:rPr>
            </w:pPr>
          </w:p>
        </w:tc>
      </w:tr>
      <w:tr>
        <w:trPr>
          <w:trHeight w:val="539" w:hRule="atLeast"/>
        </w:trPr>
        <w:tc>
          <w:tcPr>
            <w:tcW w:w="1446" w:type="dxa"/>
            <w:vMerge/>
            <w:tcBorders>
              <w:top w:val="nil"/>
            </w:tcBorders>
          </w:tcPr>
          <w:p>
            <w:pPr>
              <w:rPr>
                <w:sz w:val="2"/>
                <w:szCs w:val="2"/>
              </w:rPr>
            </w:pPr>
          </w:p>
        </w:tc>
        <w:tc>
          <w:tcPr>
            <w:tcW w:w="4150" w:type="dxa"/>
          </w:tcPr>
          <w:p>
            <w:pPr>
              <w:pStyle w:val="TableParagraph"/>
              <w:spacing w:before="39"/>
              <w:ind w:left="108"/>
              <w:rPr>
                <w:sz w:val="24"/>
              </w:rPr>
            </w:pPr>
            <w:r>
              <w:rPr>
                <w:sz w:val="24"/>
              </w:rPr>
              <w:t>作业（行为）性违章</w:t>
            </w:r>
          </w:p>
        </w:tc>
        <w:tc>
          <w:tcPr>
            <w:tcW w:w="950" w:type="dxa"/>
          </w:tcPr>
          <w:p>
            <w:pPr>
              <w:pStyle w:val="TableParagraph"/>
              <w:spacing w:before="39"/>
              <w:ind w:right="342"/>
              <w:jc w:val="right"/>
              <w:rPr>
                <w:sz w:val="24"/>
              </w:rPr>
            </w:pPr>
            <w:r>
              <w:rPr>
                <w:sz w:val="24"/>
              </w:rPr>
              <w:t>次</w:t>
            </w:r>
          </w:p>
        </w:tc>
        <w:tc>
          <w:tcPr>
            <w:tcW w:w="1180" w:type="dxa"/>
          </w:tcPr>
          <w:p>
            <w:pPr>
              <w:pStyle w:val="TableParagraph"/>
              <w:spacing w:before="39"/>
              <w:ind w:left="11"/>
              <w:jc w:val="center"/>
              <w:rPr>
                <w:sz w:val="24"/>
              </w:rPr>
            </w:pPr>
            <w:r>
              <w:rPr>
                <w:sz w:val="24"/>
              </w:rPr>
              <w:t>0</w:t>
            </w:r>
          </w:p>
        </w:tc>
        <w:tc>
          <w:tcPr>
            <w:tcW w:w="1352" w:type="dxa"/>
          </w:tcPr>
          <w:p>
            <w:pPr>
              <w:pStyle w:val="TableParagraph"/>
              <w:rPr>
                <w:rFonts w:ascii="Times New Roman"/>
                <w:sz w:val="22"/>
              </w:rPr>
            </w:pPr>
          </w:p>
        </w:tc>
      </w:tr>
      <w:tr>
        <w:trPr>
          <w:trHeight w:val="538" w:hRule="atLeast"/>
        </w:trPr>
        <w:tc>
          <w:tcPr>
            <w:tcW w:w="1446" w:type="dxa"/>
            <w:vMerge/>
            <w:tcBorders>
              <w:top w:val="nil"/>
            </w:tcBorders>
          </w:tcPr>
          <w:p>
            <w:pPr>
              <w:rPr>
                <w:sz w:val="2"/>
                <w:szCs w:val="2"/>
              </w:rPr>
            </w:pPr>
          </w:p>
        </w:tc>
        <w:tc>
          <w:tcPr>
            <w:tcW w:w="4150" w:type="dxa"/>
          </w:tcPr>
          <w:p>
            <w:pPr>
              <w:pStyle w:val="TableParagraph"/>
              <w:spacing w:before="37"/>
              <w:ind w:left="108"/>
              <w:rPr>
                <w:sz w:val="24"/>
              </w:rPr>
            </w:pPr>
            <w:r>
              <w:rPr>
                <w:sz w:val="24"/>
              </w:rPr>
              <w:t>生产人员安全培训率</w:t>
            </w:r>
          </w:p>
        </w:tc>
        <w:tc>
          <w:tcPr>
            <w:tcW w:w="950" w:type="dxa"/>
          </w:tcPr>
          <w:p>
            <w:pPr>
              <w:pStyle w:val="TableParagraph"/>
              <w:spacing w:before="37"/>
              <w:ind w:right="402"/>
              <w:jc w:val="right"/>
              <w:rPr>
                <w:sz w:val="24"/>
              </w:rPr>
            </w:pPr>
            <w:r>
              <w:rPr>
                <w:sz w:val="24"/>
              </w:rPr>
              <w:t>%</w:t>
            </w:r>
          </w:p>
        </w:tc>
        <w:tc>
          <w:tcPr>
            <w:tcW w:w="1180" w:type="dxa"/>
          </w:tcPr>
          <w:p>
            <w:pPr>
              <w:pStyle w:val="TableParagraph"/>
              <w:spacing w:before="37"/>
              <w:ind w:left="210" w:right="199"/>
              <w:jc w:val="center"/>
              <w:rPr>
                <w:sz w:val="24"/>
              </w:rPr>
            </w:pPr>
            <w:r>
              <w:rPr>
                <w:sz w:val="24"/>
              </w:rPr>
              <w:t>100</w:t>
            </w:r>
          </w:p>
        </w:tc>
        <w:tc>
          <w:tcPr>
            <w:tcW w:w="1352" w:type="dxa"/>
          </w:tcPr>
          <w:p>
            <w:pPr>
              <w:pStyle w:val="TableParagraph"/>
              <w:rPr>
                <w:rFonts w:ascii="Times New Roman"/>
                <w:sz w:val="22"/>
              </w:rPr>
            </w:pPr>
          </w:p>
        </w:tc>
      </w:tr>
      <w:tr>
        <w:trPr>
          <w:trHeight w:val="539" w:hRule="atLeast"/>
        </w:trPr>
        <w:tc>
          <w:tcPr>
            <w:tcW w:w="1446" w:type="dxa"/>
            <w:vMerge/>
            <w:tcBorders>
              <w:top w:val="nil"/>
            </w:tcBorders>
          </w:tcPr>
          <w:p>
            <w:pPr>
              <w:rPr>
                <w:sz w:val="2"/>
                <w:szCs w:val="2"/>
              </w:rPr>
            </w:pPr>
          </w:p>
        </w:tc>
        <w:tc>
          <w:tcPr>
            <w:tcW w:w="4150" w:type="dxa"/>
          </w:tcPr>
          <w:p>
            <w:pPr>
              <w:pStyle w:val="TableParagraph"/>
              <w:spacing w:before="37"/>
              <w:ind w:left="108"/>
              <w:rPr>
                <w:sz w:val="24"/>
              </w:rPr>
            </w:pPr>
            <w:r>
              <w:rPr>
                <w:sz w:val="24"/>
              </w:rPr>
              <w:t>“两票”合格率</w:t>
            </w:r>
          </w:p>
        </w:tc>
        <w:tc>
          <w:tcPr>
            <w:tcW w:w="950" w:type="dxa"/>
          </w:tcPr>
          <w:p>
            <w:pPr>
              <w:pStyle w:val="TableParagraph"/>
              <w:spacing w:before="37"/>
              <w:ind w:right="402"/>
              <w:jc w:val="right"/>
              <w:rPr>
                <w:sz w:val="24"/>
              </w:rPr>
            </w:pPr>
            <w:r>
              <w:rPr>
                <w:sz w:val="24"/>
              </w:rPr>
              <w:t>%</w:t>
            </w:r>
          </w:p>
        </w:tc>
        <w:tc>
          <w:tcPr>
            <w:tcW w:w="1180" w:type="dxa"/>
          </w:tcPr>
          <w:p>
            <w:pPr>
              <w:pStyle w:val="TableParagraph"/>
              <w:spacing w:before="37"/>
              <w:ind w:left="210" w:right="199"/>
              <w:jc w:val="center"/>
              <w:rPr>
                <w:sz w:val="24"/>
              </w:rPr>
            </w:pPr>
            <w:r>
              <w:rPr>
                <w:sz w:val="24"/>
              </w:rPr>
              <w:t>100</w:t>
            </w:r>
          </w:p>
        </w:tc>
        <w:tc>
          <w:tcPr>
            <w:tcW w:w="1352" w:type="dxa"/>
          </w:tcPr>
          <w:p>
            <w:pPr>
              <w:pStyle w:val="TableParagraph"/>
              <w:rPr>
                <w:rFonts w:ascii="Times New Roman"/>
                <w:sz w:val="22"/>
              </w:rPr>
            </w:pPr>
          </w:p>
        </w:tc>
      </w:tr>
      <w:tr>
        <w:trPr>
          <w:trHeight w:val="539" w:hRule="atLeast"/>
        </w:trPr>
        <w:tc>
          <w:tcPr>
            <w:tcW w:w="1446" w:type="dxa"/>
            <w:vMerge/>
            <w:tcBorders>
              <w:top w:val="nil"/>
            </w:tcBorders>
          </w:tcPr>
          <w:p>
            <w:pPr>
              <w:rPr>
                <w:sz w:val="2"/>
                <w:szCs w:val="2"/>
              </w:rPr>
            </w:pPr>
          </w:p>
        </w:tc>
        <w:tc>
          <w:tcPr>
            <w:tcW w:w="4150" w:type="dxa"/>
          </w:tcPr>
          <w:p>
            <w:pPr>
              <w:pStyle w:val="TableParagraph"/>
              <w:spacing w:before="38"/>
              <w:ind w:left="108"/>
              <w:rPr>
                <w:sz w:val="24"/>
              </w:rPr>
            </w:pPr>
            <w:r>
              <w:rPr>
                <w:sz w:val="24"/>
              </w:rPr>
              <w:t>“两措”计划完成率</w:t>
            </w:r>
          </w:p>
        </w:tc>
        <w:tc>
          <w:tcPr>
            <w:tcW w:w="950" w:type="dxa"/>
          </w:tcPr>
          <w:p>
            <w:pPr>
              <w:pStyle w:val="TableParagraph"/>
              <w:spacing w:before="38"/>
              <w:ind w:right="402"/>
              <w:jc w:val="right"/>
              <w:rPr>
                <w:sz w:val="24"/>
              </w:rPr>
            </w:pPr>
            <w:r>
              <w:rPr>
                <w:sz w:val="24"/>
              </w:rPr>
              <w:t>%</w:t>
            </w:r>
          </w:p>
        </w:tc>
        <w:tc>
          <w:tcPr>
            <w:tcW w:w="1180" w:type="dxa"/>
          </w:tcPr>
          <w:p>
            <w:pPr>
              <w:pStyle w:val="TableParagraph"/>
              <w:spacing w:before="38"/>
              <w:ind w:left="210" w:right="199"/>
              <w:jc w:val="center"/>
              <w:rPr>
                <w:sz w:val="24"/>
              </w:rPr>
            </w:pPr>
            <w:r>
              <w:rPr>
                <w:sz w:val="24"/>
              </w:rPr>
              <w:t>100</w:t>
            </w:r>
          </w:p>
        </w:tc>
        <w:tc>
          <w:tcPr>
            <w:tcW w:w="1352" w:type="dxa"/>
          </w:tcPr>
          <w:p>
            <w:pPr>
              <w:pStyle w:val="TableParagraph"/>
              <w:rPr>
                <w:rFonts w:ascii="Times New Roman"/>
                <w:sz w:val="22"/>
              </w:rPr>
            </w:pPr>
          </w:p>
        </w:tc>
      </w:tr>
    </w:tbl>
    <w:p>
      <w:pPr>
        <w:pStyle w:val="BodyText"/>
        <w:rPr>
          <w:b/>
          <w:sz w:val="6"/>
        </w:rPr>
      </w:pPr>
    </w:p>
    <w:p>
      <w:pPr>
        <w:pStyle w:val="Heading8"/>
        <w:spacing w:before="66" w:after="29"/>
        <w:ind w:left="507"/>
      </w:pPr>
      <w:r>
        <w:rPr/>
        <w:t>B.生产考核细则表（单位：元）</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3425"/>
        <w:gridCol w:w="1434"/>
        <w:gridCol w:w="1275"/>
        <w:gridCol w:w="1215"/>
        <w:gridCol w:w="977"/>
      </w:tblGrid>
      <w:tr>
        <w:trPr>
          <w:trHeight w:val="632" w:hRule="atLeast"/>
        </w:trPr>
        <w:tc>
          <w:tcPr>
            <w:tcW w:w="732" w:type="dxa"/>
          </w:tcPr>
          <w:p>
            <w:pPr>
              <w:pStyle w:val="TableParagraph"/>
              <w:spacing w:before="1"/>
              <w:rPr>
                <w:b/>
                <w:sz w:val="14"/>
              </w:rPr>
            </w:pPr>
          </w:p>
          <w:p>
            <w:pPr>
              <w:pStyle w:val="TableParagraph"/>
              <w:spacing w:before="1"/>
              <w:ind w:left="134" w:right="128"/>
              <w:jc w:val="center"/>
              <w:rPr>
                <w:sz w:val="21"/>
              </w:rPr>
            </w:pPr>
            <w:r>
              <w:rPr>
                <w:sz w:val="21"/>
              </w:rPr>
              <w:t>序号</w:t>
            </w:r>
          </w:p>
        </w:tc>
        <w:tc>
          <w:tcPr>
            <w:tcW w:w="3425" w:type="dxa"/>
          </w:tcPr>
          <w:p>
            <w:pPr>
              <w:pStyle w:val="TableParagraph"/>
              <w:spacing w:before="1"/>
              <w:rPr>
                <w:b/>
                <w:sz w:val="14"/>
              </w:rPr>
            </w:pPr>
          </w:p>
          <w:p>
            <w:pPr>
              <w:pStyle w:val="TableParagraph"/>
              <w:spacing w:before="1"/>
              <w:ind w:left="1271" w:right="1263"/>
              <w:jc w:val="center"/>
              <w:rPr>
                <w:sz w:val="21"/>
              </w:rPr>
            </w:pPr>
            <w:r>
              <w:rPr>
                <w:sz w:val="21"/>
              </w:rPr>
              <w:t>考核标准</w:t>
            </w:r>
          </w:p>
        </w:tc>
        <w:tc>
          <w:tcPr>
            <w:tcW w:w="1434" w:type="dxa"/>
          </w:tcPr>
          <w:p>
            <w:pPr>
              <w:pStyle w:val="TableParagraph"/>
              <w:spacing w:before="1"/>
              <w:rPr>
                <w:b/>
                <w:sz w:val="14"/>
              </w:rPr>
            </w:pPr>
          </w:p>
          <w:p>
            <w:pPr>
              <w:pStyle w:val="TableParagraph"/>
              <w:spacing w:before="1"/>
              <w:ind w:left="275" w:right="269"/>
              <w:jc w:val="center"/>
              <w:rPr>
                <w:sz w:val="21"/>
              </w:rPr>
            </w:pPr>
            <w:r>
              <w:rPr>
                <w:sz w:val="21"/>
              </w:rPr>
              <w:t>考核金额</w:t>
            </w:r>
          </w:p>
        </w:tc>
        <w:tc>
          <w:tcPr>
            <w:tcW w:w="1275" w:type="dxa"/>
          </w:tcPr>
          <w:p>
            <w:pPr>
              <w:pStyle w:val="TableParagraph"/>
              <w:spacing w:before="1"/>
              <w:rPr>
                <w:b/>
                <w:sz w:val="14"/>
              </w:rPr>
            </w:pPr>
          </w:p>
          <w:p>
            <w:pPr>
              <w:pStyle w:val="TableParagraph"/>
              <w:spacing w:before="1"/>
              <w:ind w:left="90" w:right="85"/>
              <w:jc w:val="center"/>
              <w:rPr>
                <w:sz w:val="21"/>
              </w:rPr>
            </w:pPr>
            <w:r>
              <w:rPr>
                <w:sz w:val="21"/>
              </w:rPr>
              <w:t>被考核单位</w:t>
            </w:r>
          </w:p>
        </w:tc>
        <w:tc>
          <w:tcPr>
            <w:tcW w:w="1215" w:type="dxa"/>
          </w:tcPr>
          <w:p>
            <w:pPr>
              <w:pStyle w:val="TableParagraph"/>
              <w:spacing w:before="1"/>
              <w:rPr>
                <w:b/>
                <w:sz w:val="14"/>
              </w:rPr>
            </w:pPr>
          </w:p>
          <w:p>
            <w:pPr>
              <w:pStyle w:val="TableParagraph"/>
              <w:spacing w:before="1"/>
              <w:ind w:left="165" w:right="159"/>
              <w:jc w:val="center"/>
              <w:rPr>
                <w:sz w:val="21"/>
              </w:rPr>
            </w:pPr>
            <w:r>
              <w:rPr>
                <w:sz w:val="21"/>
              </w:rPr>
              <w:t>考核单位</w:t>
            </w:r>
          </w:p>
        </w:tc>
        <w:tc>
          <w:tcPr>
            <w:tcW w:w="977" w:type="dxa"/>
          </w:tcPr>
          <w:p>
            <w:pPr>
              <w:pStyle w:val="TableParagraph"/>
              <w:spacing w:before="1"/>
              <w:rPr>
                <w:b/>
                <w:sz w:val="14"/>
              </w:rPr>
            </w:pPr>
          </w:p>
          <w:p>
            <w:pPr>
              <w:pStyle w:val="TableParagraph"/>
              <w:spacing w:before="1"/>
              <w:ind w:left="256" w:right="251"/>
              <w:jc w:val="center"/>
              <w:rPr>
                <w:sz w:val="21"/>
              </w:rPr>
            </w:pPr>
            <w:r>
              <w:rPr>
                <w:sz w:val="21"/>
              </w:rPr>
              <w:t>周期</w:t>
            </w:r>
          </w:p>
        </w:tc>
      </w:tr>
      <w:tr>
        <w:trPr>
          <w:trHeight w:val="688" w:hRule="atLeast"/>
        </w:trPr>
        <w:tc>
          <w:tcPr>
            <w:tcW w:w="732" w:type="dxa"/>
          </w:tcPr>
          <w:p>
            <w:pPr>
              <w:pStyle w:val="TableParagraph"/>
              <w:spacing w:before="5"/>
              <w:rPr>
                <w:b/>
                <w:sz w:val="16"/>
              </w:rPr>
            </w:pPr>
          </w:p>
          <w:p>
            <w:pPr>
              <w:pStyle w:val="TableParagraph"/>
              <w:ind w:left="9"/>
              <w:jc w:val="center"/>
              <w:rPr>
                <w:sz w:val="21"/>
              </w:rPr>
            </w:pPr>
            <w:r>
              <w:rPr>
                <w:w w:val="99"/>
                <w:sz w:val="21"/>
              </w:rPr>
              <w:t>1</w:t>
            </w:r>
          </w:p>
        </w:tc>
        <w:tc>
          <w:tcPr>
            <w:tcW w:w="3425" w:type="dxa"/>
          </w:tcPr>
          <w:p>
            <w:pPr>
              <w:pStyle w:val="TableParagraph"/>
              <w:spacing w:line="242" w:lineRule="auto" w:before="73"/>
              <w:ind w:left="107" w:right="96"/>
              <w:rPr>
                <w:sz w:val="21"/>
              </w:rPr>
            </w:pPr>
            <w:r>
              <w:rPr>
                <w:sz w:val="21"/>
              </w:rPr>
              <w:t>没有按要求参加公司组织的生产会议（含视频）</w:t>
            </w:r>
          </w:p>
        </w:tc>
        <w:tc>
          <w:tcPr>
            <w:tcW w:w="1434" w:type="dxa"/>
          </w:tcPr>
          <w:p>
            <w:pPr>
              <w:pStyle w:val="TableParagraph"/>
              <w:spacing w:before="5"/>
              <w:rPr>
                <w:b/>
                <w:sz w:val="16"/>
              </w:rPr>
            </w:pPr>
          </w:p>
          <w:p>
            <w:pPr>
              <w:pStyle w:val="TableParagraph"/>
              <w:ind w:left="275" w:right="268"/>
              <w:jc w:val="center"/>
              <w:rPr>
                <w:sz w:val="21"/>
              </w:rPr>
            </w:pPr>
            <w:r>
              <w:rPr>
                <w:sz w:val="21"/>
              </w:rPr>
              <w:t>50/次</w:t>
            </w:r>
          </w:p>
        </w:tc>
        <w:tc>
          <w:tcPr>
            <w:tcW w:w="1275" w:type="dxa"/>
          </w:tcPr>
          <w:p>
            <w:pPr>
              <w:pStyle w:val="TableParagraph"/>
              <w:spacing w:before="5"/>
              <w:rPr>
                <w:b/>
                <w:sz w:val="16"/>
              </w:rPr>
            </w:pPr>
          </w:p>
          <w:p>
            <w:pPr>
              <w:pStyle w:val="TableParagraph"/>
              <w:ind w:left="90" w:right="83"/>
              <w:jc w:val="center"/>
              <w:rPr>
                <w:sz w:val="21"/>
              </w:rPr>
            </w:pPr>
            <w:r>
              <w:rPr>
                <w:sz w:val="21"/>
              </w:rPr>
              <w:t>承包方</w:t>
            </w:r>
          </w:p>
        </w:tc>
        <w:tc>
          <w:tcPr>
            <w:tcW w:w="1215" w:type="dxa"/>
          </w:tcPr>
          <w:p>
            <w:pPr>
              <w:pStyle w:val="TableParagraph"/>
              <w:spacing w:before="5"/>
              <w:rPr>
                <w:b/>
                <w:sz w:val="16"/>
              </w:rPr>
            </w:pPr>
          </w:p>
          <w:p>
            <w:pPr>
              <w:pStyle w:val="TableParagraph"/>
              <w:ind w:left="165" w:right="157"/>
              <w:jc w:val="center"/>
              <w:rPr>
                <w:sz w:val="21"/>
              </w:rPr>
            </w:pPr>
            <w:r>
              <w:rPr>
                <w:sz w:val="21"/>
              </w:rPr>
              <w:t>委托方</w:t>
            </w:r>
          </w:p>
        </w:tc>
        <w:tc>
          <w:tcPr>
            <w:tcW w:w="977" w:type="dxa"/>
          </w:tcPr>
          <w:p>
            <w:pPr>
              <w:pStyle w:val="TableParagraph"/>
              <w:spacing w:before="5"/>
              <w:rPr>
                <w:b/>
                <w:sz w:val="16"/>
              </w:rPr>
            </w:pPr>
          </w:p>
          <w:p>
            <w:pPr>
              <w:pStyle w:val="TableParagraph"/>
              <w:ind w:left="7"/>
              <w:jc w:val="center"/>
              <w:rPr>
                <w:sz w:val="21"/>
              </w:rPr>
            </w:pPr>
            <w:r>
              <w:rPr>
                <w:w w:val="99"/>
                <w:sz w:val="21"/>
              </w:rPr>
              <w:t>月</w:t>
            </w:r>
          </w:p>
        </w:tc>
      </w:tr>
      <w:tr>
        <w:trPr>
          <w:trHeight w:val="669" w:hRule="atLeast"/>
        </w:trPr>
        <w:tc>
          <w:tcPr>
            <w:tcW w:w="732" w:type="dxa"/>
          </w:tcPr>
          <w:p>
            <w:pPr>
              <w:pStyle w:val="TableParagraph"/>
              <w:spacing w:before="7"/>
              <w:rPr>
                <w:b/>
                <w:sz w:val="15"/>
              </w:rPr>
            </w:pPr>
          </w:p>
          <w:p>
            <w:pPr>
              <w:pStyle w:val="TableParagraph"/>
              <w:spacing w:before="1"/>
              <w:ind w:left="9"/>
              <w:jc w:val="center"/>
              <w:rPr>
                <w:sz w:val="21"/>
              </w:rPr>
            </w:pPr>
            <w:r>
              <w:rPr>
                <w:w w:val="99"/>
                <w:sz w:val="21"/>
              </w:rPr>
              <w:t>2</w:t>
            </w:r>
          </w:p>
        </w:tc>
        <w:tc>
          <w:tcPr>
            <w:tcW w:w="3425" w:type="dxa"/>
          </w:tcPr>
          <w:p>
            <w:pPr>
              <w:pStyle w:val="TableParagraph"/>
              <w:spacing w:before="7"/>
              <w:rPr>
                <w:b/>
                <w:sz w:val="15"/>
              </w:rPr>
            </w:pPr>
          </w:p>
          <w:p>
            <w:pPr>
              <w:pStyle w:val="TableParagraph"/>
              <w:spacing w:before="1"/>
              <w:ind w:left="107"/>
              <w:rPr>
                <w:sz w:val="21"/>
              </w:rPr>
            </w:pPr>
            <w:r>
              <w:rPr>
                <w:sz w:val="21"/>
              </w:rPr>
              <w:t>文件未按规定时限办理完结的</w:t>
            </w:r>
          </w:p>
        </w:tc>
        <w:tc>
          <w:tcPr>
            <w:tcW w:w="1434" w:type="dxa"/>
          </w:tcPr>
          <w:p>
            <w:pPr>
              <w:pStyle w:val="TableParagraph"/>
              <w:spacing w:before="7"/>
              <w:rPr>
                <w:b/>
                <w:sz w:val="15"/>
              </w:rPr>
            </w:pPr>
          </w:p>
          <w:p>
            <w:pPr>
              <w:pStyle w:val="TableParagraph"/>
              <w:spacing w:before="1"/>
              <w:ind w:left="275" w:right="268"/>
              <w:jc w:val="center"/>
              <w:rPr>
                <w:sz w:val="21"/>
              </w:rPr>
            </w:pPr>
            <w:r>
              <w:rPr>
                <w:sz w:val="21"/>
              </w:rPr>
              <w:t>50/次</w:t>
            </w:r>
          </w:p>
        </w:tc>
        <w:tc>
          <w:tcPr>
            <w:tcW w:w="1275" w:type="dxa"/>
          </w:tcPr>
          <w:p>
            <w:pPr>
              <w:pStyle w:val="TableParagraph"/>
              <w:spacing w:before="7"/>
              <w:rPr>
                <w:b/>
                <w:sz w:val="15"/>
              </w:rPr>
            </w:pPr>
          </w:p>
          <w:p>
            <w:pPr>
              <w:pStyle w:val="TableParagraph"/>
              <w:spacing w:before="1"/>
              <w:ind w:left="90" w:right="83"/>
              <w:jc w:val="center"/>
              <w:rPr>
                <w:sz w:val="21"/>
              </w:rPr>
            </w:pPr>
            <w:r>
              <w:rPr>
                <w:sz w:val="21"/>
              </w:rPr>
              <w:t>承包方</w:t>
            </w:r>
          </w:p>
        </w:tc>
        <w:tc>
          <w:tcPr>
            <w:tcW w:w="1215" w:type="dxa"/>
          </w:tcPr>
          <w:p>
            <w:pPr>
              <w:pStyle w:val="TableParagraph"/>
              <w:spacing w:before="7"/>
              <w:rPr>
                <w:b/>
                <w:sz w:val="15"/>
              </w:rPr>
            </w:pPr>
          </w:p>
          <w:p>
            <w:pPr>
              <w:pStyle w:val="TableParagraph"/>
              <w:spacing w:before="1"/>
              <w:ind w:left="165" w:right="157"/>
              <w:jc w:val="center"/>
              <w:rPr>
                <w:sz w:val="21"/>
              </w:rPr>
            </w:pPr>
            <w:r>
              <w:rPr>
                <w:sz w:val="21"/>
              </w:rPr>
              <w:t>委托方</w:t>
            </w:r>
          </w:p>
        </w:tc>
        <w:tc>
          <w:tcPr>
            <w:tcW w:w="977" w:type="dxa"/>
          </w:tcPr>
          <w:p>
            <w:pPr>
              <w:pStyle w:val="TableParagraph"/>
              <w:spacing w:before="7"/>
              <w:rPr>
                <w:b/>
                <w:sz w:val="15"/>
              </w:rPr>
            </w:pPr>
          </w:p>
          <w:p>
            <w:pPr>
              <w:pStyle w:val="TableParagraph"/>
              <w:spacing w:before="1"/>
              <w:ind w:left="7"/>
              <w:jc w:val="center"/>
              <w:rPr>
                <w:sz w:val="21"/>
              </w:rPr>
            </w:pPr>
            <w:r>
              <w:rPr>
                <w:w w:val="99"/>
                <w:sz w:val="21"/>
              </w:rPr>
              <w:t>月</w:t>
            </w:r>
          </w:p>
        </w:tc>
      </w:tr>
      <w:tr>
        <w:trPr>
          <w:trHeight w:val="943" w:hRule="atLeast"/>
        </w:trPr>
        <w:tc>
          <w:tcPr>
            <w:tcW w:w="732" w:type="dxa"/>
          </w:tcPr>
          <w:p>
            <w:pPr>
              <w:pStyle w:val="TableParagraph"/>
              <w:spacing w:before="3"/>
              <w:rPr>
                <w:b/>
                <w:sz w:val="26"/>
              </w:rPr>
            </w:pPr>
          </w:p>
          <w:p>
            <w:pPr>
              <w:pStyle w:val="TableParagraph"/>
              <w:spacing w:before="1"/>
              <w:ind w:left="9"/>
              <w:jc w:val="center"/>
              <w:rPr>
                <w:sz w:val="21"/>
              </w:rPr>
            </w:pPr>
            <w:r>
              <w:rPr>
                <w:w w:val="99"/>
                <w:sz w:val="21"/>
              </w:rPr>
              <w:t>3</w:t>
            </w:r>
          </w:p>
        </w:tc>
        <w:tc>
          <w:tcPr>
            <w:tcW w:w="3425" w:type="dxa"/>
          </w:tcPr>
          <w:p>
            <w:pPr>
              <w:pStyle w:val="TableParagraph"/>
              <w:spacing w:line="244" w:lineRule="auto" w:before="63"/>
              <w:ind w:left="107" w:right="95"/>
              <w:rPr>
                <w:sz w:val="21"/>
              </w:rPr>
            </w:pPr>
            <w:r>
              <w:rPr>
                <w:sz w:val="21"/>
              </w:rPr>
              <w:t>未按时间要求传达到相关层次的( 经营者集团、中层干部、管理人员</w:t>
            </w:r>
          </w:p>
          <w:p>
            <w:pPr>
              <w:pStyle w:val="TableParagraph"/>
              <w:spacing w:line="265" w:lineRule="exact"/>
              <w:ind w:left="107"/>
              <w:rPr>
                <w:sz w:val="21"/>
              </w:rPr>
            </w:pPr>
            <w:r>
              <w:rPr>
                <w:sz w:val="21"/>
              </w:rPr>
              <w:t>、班组)</w:t>
            </w:r>
          </w:p>
        </w:tc>
        <w:tc>
          <w:tcPr>
            <w:tcW w:w="1434" w:type="dxa"/>
          </w:tcPr>
          <w:p>
            <w:pPr>
              <w:pStyle w:val="TableParagraph"/>
              <w:spacing w:before="3"/>
              <w:rPr>
                <w:b/>
                <w:sz w:val="26"/>
              </w:rPr>
            </w:pPr>
          </w:p>
          <w:p>
            <w:pPr>
              <w:pStyle w:val="TableParagraph"/>
              <w:spacing w:before="1"/>
              <w:ind w:left="275" w:right="268"/>
              <w:jc w:val="center"/>
              <w:rPr>
                <w:sz w:val="21"/>
              </w:rPr>
            </w:pPr>
            <w:r>
              <w:rPr>
                <w:sz w:val="21"/>
              </w:rPr>
              <w:t>50/项</w:t>
            </w:r>
          </w:p>
        </w:tc>
        <w:tc>
          <w:tcPr>
            <w:tcW w:w="1275" w:type="dxa"/>
          </w:tcPr>
          <w:p>
            <w:pPr>
              <w:pStyle w:val="TableParagraph"/>
              <w:spacing w:before="3"/>
              <w:rPr>
                <w:b/>
                <w:sz w:val="26"/>
              </w:rPr>
            </w:pPr>
          </w:p>
          <w:p>
            <w:pPr>
              <w:pStyle w:val="TableParagraph"/>
              <w:spacing w:before="1"/>
              <w:ind w:left="90" w:right="83"/>
              <w:jc w:val="center"/>
              <w:rPr>
                <w:sz w:val="21"/>
              </w:rPr>
            </w:pPr>
            <w:r>
              <w:rPr>
                <w:sz w:val="21"/>
              </w:rPr>
              <w:t>承包方</w:t>
            </w:r>
          </w:p>
        </w:tc>
        <w:tc>
          <w:tcPr>
            <w:tcW w:w="1215" w:type="dxa"/>
          </w:tcPr>
          <w:p>
            <w:pPr>
              <w:pStyle w:val="TableParagraph"/>
              <w:spacing w:before="3"/>
              <w:rPr>
                <w:b/>
                <w:sz w:val="26"/>
              </w:rPr>
            </w:pPr>
          </w:p>
          <w:p>
            <w:pPr>
              <w:pStyle w:val="TableParagraph"/>
              <w:spacing w:before="1"/>
              <w:ind w:left="165" w:right="157"/>
              <w:jc w:val="center"/>
              <w:rPr>
                <w:sz w:val="21"/>
              </w:rPr>
            </w:pPr>
            <w:r>
              <w:rPr>
                <w:sz w:val="21"/>
              </w:rPr>
              <w:t>委托方</w:t>
            </w:r>
          </w:p>
        </w:tc>
        <w:tc>
          <w:tcPr>
            <w:tcW w:w="977" w:type="dxa"/>
          </w:tcPr>
          <w:p>
            <w:pPr>
              <w:pStyle w:val="TableParagraph"/>
              <w:spacing w:before="3"/>
              <w:rPr>
                <w:b/>
                <w:sz w:val="26"/>
              </w:rPr>
            </w:pPr>
          </w:p>
          <w:p>
            <w:pPr>
              <w:pStyle w:val="TableParagraph"/>
              <w:spacing w:before="1"/>
              <w:ind w:left="7"/>
              <w:jc w:val="center"/>
              <w:rPr>
                <w:sz w:val="21"/>
              </w:rPr>
            </w:pPr>
            <w:r>
              <w:rPr>
                <w:w w:val="99"/>
                <w:sz w:val="21"/>
              </w:rPr>
              <w:t>月</w:t>
            </w:r>
          </w:p>
        </w:tc>
      </w:tr>
      <w:tr>
        <w:trPr>
          <w:trHeight w:val="633" w:hRule="atLeast"/>
        </w:trPr>
        <w:tc>
          <w:tcPr>
            <w:tcW w:w="732" w:type="dxa"/>
          </w:tcPr>
          <w:p>
            <w:pPr>
              <w:pStyle w:val="TableParagraph"/>
              <w:spacing w:before="2"/>
              <w:rPr>
                <w:b/>
                <w:sz w:val="14"/>
              </w:rPr>
            </w:pPr>
          </w:p>
          <w:p>
            <w:pPr>
              <w:pStyle w:val="TableParagraph"/>
              <w:spacing w:before="1"/>
              <w:ind w:left="9"/>
              <w:jc w:val="center"/>
              <w:rPr>
                <w:sz w:val="21"/>
              </w:rPr>
            </w:pPr>
            <w:r>
              <w:rPr>
                <w:w w:val="99"/>
                <w:sz w:val="21"/>
              </w:rPr>
              <w:t>4</w:t>
            </w:r>
          </w:p>
        </w:tc>
        <w:tc>
          <w:tcPr>
            <w:tcW w:w="3425" w:type="dxa"/>
          </w:tcPr>
          <w:p>
            <w:pPr>
              <w:pStyle w:val="TableParagraph"/>
              <w:spacing w:line="242" w:lineRule="auto" w:before="45"/>
              <w:ind w:left="107" w:right="96"/>
              <w:rPr>
                <w:sz w:val="21"/>
              </w:rPr>
            </w:pPr>
            <w:r>
              <w:rPr>
                <w:sz w:val="21"/>
              </w:rPr>
              <w:t>文件精神贯彻时目标不明确、措施不具体的</w:t>
            </w:r>
          </w:p>
        </w:tc>
        <w:tc>
          <w:tcPr>
            <w:tcW w:w="1434" w:type="dxa"/>
          </w:tcPr>
          <w:p>
            <w:pPr>
              <w:pStyle w:val="TableParagraph"/>
              <w:spacing w:before="2"/>
              <w:rPr>
                <w:b/>
                <w:sz w:val="14"/>
              </w:rPr>
            </w:pPr>
          </w:p>
          <w:p>
            <w:pPr>
              <w:pStyle w:val="TableParagraph"/>
              <w:spacing w:before="1"/>
              <w:ind w:left="275" w:right="268"/>
              <w:jc w:val="center"/>
              <w:rPr>
                <w:sz w:val="21"/>
              </w:rPr>
            </w:pPr>
            <w:r>
              <w:rPr>
                <w:sz w:val="21"/>
              </w:rPr>
              <w:t>50/次</w:t>
            </w:r>
          </w:p>
        </w:tc>
        <w:tc>
          <w:tcPr>
            <w:tcW w:w="1275" w:type="dxa"/>
          </w:tcPr>
          <w:p>
            <w:pPr>
              <w:pStyle w:val="TableParagraph"/>
              <w:spacing w:before="2"/>
              <w:rPr>
                <w:b/>
                <w:sz w:val="14"/>
              </w:rPr>
            </w:pPr>
          </w:p>
          <w:p>
            <w:pPr>
              <w:pStyle w:val="TableParagraph"/>
              <w:spacing w:before="1"/>
              <w:ind w:left="90" w:right="83"/>
              <w:jc w:val="center"/>
              <w:rPr>
                <w:sz w:val="21"/>
              </w:rPr>
            </w:pPr>
            <w:r>
              <w:rPr>
                <w:sz w:val="21"/>
              </w:rPr>
              <w:t>承包方</w:t>
            </w:r>
          </w:p>
        </w:tc>
        <w:tc>
          <w:tcPr>
            <w:tcW w:w="1215" w:type="dxa"/>
          </w:tcPr>
          <w:p>
            <w:pPr>
              <w:pStyle w:val="TableParagraph"/>
              <w:spacing w:before="2"/>
              <w:rPr>
                <w:b/>
                <w:sz w:val="14"/>
              </w:rPr>
            </w:pPr>
          </w:p>
          <w:p>
            <w:pPr>
              <w:pStyle w:val="TableParagraph"/>
              <w:spacing w:before="1"/>
              <w:ind w:left="165" w:right="157"/>
              <w:jc w:val="center"/>
              <w:rPr>
                <w:sz w:val="21"/>
              </w:rPr>
            </w:pPr>
            <w:r>
              <w:rPr>
                <w:sz w:val="21"/>
              </w:rPr>
              <w:t>委托方</w:t>
            </w:r>
          </w:p>
        </w:tc>
        <w:tc>
          <w:tcPr>
            <w:tcW w:w="977" w:type="dxa"/>
          </w:tcPr>
          <w:p>
            <w:pPr>
              <w:pStyle w:val="TableParagraph"/>
              <w:spacing w:before="2"/>
              <w:rPr>
                <w:b/>
                <w:sz w:val="14"/>
              </w:rPr>
            </w:pPr>
          </w:p>
          <w:p>
            <w:pPr>
              <w:pStyle w:val="TableParagraph"/>
              <w:spacing w:before="1"/>
              <w:ind w:left="7"/>
              <w:jc w:val="center"/>
              <w:rPr>
                <w:sz w:val="21"/>
              </w:rPr>
            </w:pPr>
            <w:r>
              <w:rPr>
                <w:w w:val="99"/>
                <w:sz w:val="21"/>
              </w:rPr>
              <w:t>月</w:t>
            </w:r>
          </w:p>
        </w:tc>
      </w:tr>
    </w:tbl>
    <w:p>
      <w:pPr>
        <w:pStyle w:val="BodyText"/>
        <w:rPr>
          <w:b/>
          <w:sz w:val="24"/>
        </w:rPr>
      </w:pPr>
    </w:p>
    <w:p>
      <w:pPr>
        <w:pStyle w:val="Heading8"/>
        <w:spacing w:before="162"/>
      </w:pPr>
      <w:r>
        <w:rPr/>
        <w:t>（二）、考核原则及方法</w:t>
      </w:r>
    </w:p>
    <w:p>
      <w:pPr>
        <w:pStyle w:val="Heading8"/>
        <w:spacing w:before="158"/>
      </w:pPr>
      <w:r>
        <w:rPr/>
        <w:t>1.考核原则</w:t>
      </w:r>
    </w:p>
    <w:p>
      <w:pPr>
        <w:pStyle w:val="Heading9"/>
        <w:spacing w:line="364" w:lineRule="auto" w:before="160"/>
        <w:ind w:right="1109"/>
        <w:jc w:val="both"/>
      </w:pPr>
      <w:r>
        <w:rPr/>
        <w:t>因中标人非运维可避免的招标人电站设计、安装、设备严重质量问题导致的不能运行，受电网公司发电上网限制的弃光电量，不可抗因素等影响导致光伏电站可利用率降低的，在考核时相应减除。</w:t>
      </w:r>
    </w:p>
    <w:p>
      <w:pPr>
        <w:pStyle w:val="Heading8"/>
        <w:spacing w:line="304" w:lineRule="exact"/>
      </w:pPr>
      <w:r>
        <w:rPr/>
        <w:t>2.考核方法</w:t>
      </w:r>
    </w:p>
    <w:p>
      <w:pPr>
        <w:pStyle w:val="Heading9"/>
        <w:spacing w:line="364" w:lineRule="auto" w:before="161"/>
        <w:ind w:right="989"/>
      </w:pPr>
      <w:r>
        <w:rPr/>
        <w:t>（1）中标人服务期内，不发生安全指标考核项内容，如发生安全指标考核项，根据情况扣1000--5000元/次。</w:t>
      </w:r>
    </w:p>
    <w:p>
      <w:pPr>
        <w:pStyle w:val="Heading9"/>
        <w:spacing w:line="364" w:lineRule="auto"/>
        <w:ind w:right="989"/>
      </w:pPr>
      <w:r>
        <w:rPr/>
        <w:t>（2）中标人服务期内，如发生管理性、装置性、作业（行为）性违章的，每发生人/1次，扣除中标人服务费500元；生产人员安全培训率按照目标值每降低1个百分点扣除中标人服务费500元；“两票”合格率按照目标值每降低1个百分点扣除中标人服务费1000元；“两措”计划完成率按照目标值每降低1个百分点扣除中标人服务费1000 元。</w:t>
      </w:r>
    </w:p>
    <w:p>
      <w:pPr>
        <w:spacing w:after="0" w:line="364" w:lineRule="auto"/>
        <w:sectPr>
          <w:pgSz w:w="11910" w:h="16840"/>
          <w:pgMar w:header="0" w:footer="770" w:top="1400" w:bottom="960" w:left="1300" w:right="500"/>
        </w:sectPr>
      </w:pPr>
    </w:p>
    <w:p>
      <w:pPr>
        <w:pStyle w:val="Heading9"/>
        <w:spacing w:line="362" w:lineRule="auto" w:before="41"/>
        <w:ind w:right="989"/>
      </w:pPr>
      <w:r>
        <w:rPr/>
        <w:t>（3）招标人、中标人双方对连续12个自然月的光伏电站可利用系数进行统计，对于目标值每低于0.1%扣1000元。</w:t>
      </w:r>
    </w:p>
    <w:p>
      <w:pPr>
        <w:pStyle w:val="Heading9"/>
        <w:spacing w:line="362" w:lineRule="auto" w:before="5"/>
        <w:ind w:right="989"/>
      </w:pPr>
      <w:r>
        <w:rPr/>
        <w:t>（4）如因中标人人员未到位或不足（不能满足生产需求），每延迟一日，中标人按应得款项的万分之一支付违约赔偿金。</w:t>
      </w:r>
    </w:p>
    <w:p>
      <w:pPr>
        <w:pStyle w:val="Heading9"/>
        <w:spacing w:line="362" w:lineRule="auto" w:before="5"/>
        <w:ind w:right="989"/>
      </w:pPr>
      <w:r>
        <w:rPr/>
        <w:t>（5）中标人必须保证投标时所配置的现场生产人员与实际到站的人员保持一致， 如发生实际人员配置不足，考核1000元/次/人。</w:t>
      </w:r>
    </w:p>
    <w:p>
      <w:pPr>
        <w:pStyle w:val="Heading9"/>
        <w:spacing w:line="362" w:lineRule="auto" w:before="5"/>
        <w:ind w:right="989"/>
      </w:pPr>
      <w:r>
        <w:rPr/>
        <w:t>（6）招标人未按照本合同规定按时履行付款义务，自迟延支付之日起至付清之日止，每延误一天，就应付而未付的金额按照中国人民银行同期贷款基准利率支付违约</w:t>
      </w:r>
    </w:p>
    <w:p>
      <w:pPr>
        <w:pStyle w:val="Heading9"/>
        <w:spacing w:before="5"/>
        <w:ind w:firstLine="0"/>
      </w:pPr>
      <w:r>
        <w:rPr/>
        <w:t>。</w:t>
      </w:r>
    </w:p>
    <w:p>
      <w:pPr>
        <w:pStyle w:val="Heading9"/>
        <w:spacing w:before="158"/>
        <w:ind w:left="595" w:firstLine="0"/>
      </w:pPr>
      <w:r>
        <w:rPr/>
        <w:t>（7）以上针对中标人的考核条款累计金额分别不超过合同总额的10%。</w:t>
      </w:r>
    </w:p>
    <w:p>
      <w:pPr>
        <w:pStyle w:val="Heading9"/>
        <w:spacing w:line="364" w:lineRule="auto" w:before="160"/>
        <w:ind w:right="989"/>
      </w:pPr>
      <w:r>
        <w:rPr/>
        <w:t>（8）中标人在履行合同期间，应认真执行有关安全作业的相关法律法规、规定和规程，由于中标人安全措施不力等中标人原因造成人身伤亡或财产损失等事故由中标人负责处理，由此产生的全部责任和由此而发生的费用、赔偿、罚款等，全部由中标人承担，招标人不承担任何责任。同时如因中标人原因造成招标人、第三人人身伤亡或财产损失的，中标人负责赔偿。如果招标人因中标人过错被追究责任，招标人有权向中标人追偿。</w:t>
      </w:r>
    </w:p>
    <w:p>
      <w:pPr>
        <w:pStyle w:val="Heading8"/>
        <w:spacing w:line="304" w:lineRule="exact"/>
      </w:pPr>
      <w:r>
        <w:rPr/>
        <w:t>3、不可抗力</w:t>
      </w:r>
    </w:p>
    <w:p>
      <w:pPr>
        <w:pStyle w:val="Heading9"/>
        <w:spacing w:line="364" w:lineRule="auto" w:before="159"/>
        <w:ind w:right="989"/>
      </w:pPr>
      <w:r>
        <w:rPr/>
        <w:t>1、不可抗力是指因战争、动乱、洪水、地震、雷击、飓风和其它非招标人、中标人责任造成的爆炸、火灾及超出设备安全运行限定条件的过风速、环境温度过高或过低且持续时间过长的自然灾害或外力破坏等，令中标人完全或部分不能履行其在本合同中义务的而且既不是中标人合理控制范围内的也不是中标人错误或疏忽所导致的事件。</w:t>
      </w:r>
    </w:p>
    <w:p>
      <w:pPr>
        <w:pStyle w:val="Heading9"/>
        <w:spacing w:line="306" w:lineRule="exact"/>
        <w:ind w:left="595" w:firstLine="0"/>
      </w:pPr>
      <w:r>
        <w:rPr/>
        <w:t>2、如果中标人因不可抗力而完全或部分不能履行其在本合同中的义务,则：</w:t>
      </w:r>
    </w:p>
    <w:p>
      <w:pPr>
        <w:pStyle w:val="Heading9"/>
        <w:spacing w:line="364" w:lineRule="auto" w:before="160"/>
        <w:ind w:right="989"/>
      </w:pPr>
      <w:r>
        <w:rPr/>
        <w:t>3、中标人向招标人提交发生上述不可抗力事件和证明其完全或部分不能履行义务是由不可抗力事件所导致的通知。</w:t>
      </w:r>
    </w:p>
    <w:p>
      <w:pPr>
        <w:pStyle w:val="Heading9"/>
        <w:spacing w:line="362" w:lineRule="auto"/>
        <w:ind w:right="989"/>
      </w:pPr>
      <w:r>
        <w:rPr/>
        <w:t>4、交付通知后，提出不可抗力的一方，将在受该不可抗力事件影响的范围内被免于或修改其在本合同中的义务，但是：</w:t>
      </w:r>
    </w:p>
    <w:p>
      <w:pPr>
        <w:pStyle w:val="Heading9"/>
        <w:spacing w:before="4"/>
        <w:ind w:left="595" w:firstLine="0"/>
      </w:pPr>
      <w:r>
        <w:rPr/>
        <w:t>5、暂停履行义务的范围和时间不得超出不可抗力事件影响的范围和时间。</w:t>
      </w:r>
    </w:p>
    <w:p>
      <w:pPr>
        <w:pStyle w:val="Heading9"/>
        <w:spacing w:line="364" w:lineRule="auto" w:before="158"/>
        <w:ind w:right="989"/>
      </w:pPr>
      <w:r>
        <w:rPr/>
        <w:t>6、不可抗力事件发生前已产生的在本合同中的义务，不得因不可抗力事件而被免除。</w:t>
      </w:r>
    </w:p>
    <w:p>
      <w:pPr>
        <w:spacing w:after="0" w:line="364" w:lineRule="auto"/>
        <w:sectPr>
          <w:footerReference w:type="default" r:id="rId26"/>
          <w:pgSz w:w="11910" w:h="16840"/>
          <w:pgMar w:footer="770" w:header="0" w:top="1360" w:bottom="960" w:left="1300" w:right="500"/>
          <w:pgNumType w:start="50"/>
        </w:sectPr>
      </w:pPr>
    </w:p>
    <w:p>
      <w:pPr>
        <w:pStyle w:val="Heading8"/>
        <w:spacing w:before="41"/>
      </w:pPr>
      <w:r>
        <w:rPr/>
        <w:t>4.其它要求</w:t>
      </w:r>
    </w:p>
    <w:p>
      <w:pPr>
        <w:pStyle w:val="Heading9"/>
        <w:spacing w:before="158"/>
        <w:ind w:left="595" w:firstLine="0"/>
      </w:pPr>
      <w:r>
        <w:rPr/>
        <w:t>中标人应当按照询比文件的要求编制响应文件，并对其提交的响应文件的真实性</w:t>
      </w:r>
    </w:p>
    <w:p>
      <w:pPr>
        <w:pStyle w:val="Heading9"/>
        <w:spacing w:before="161"/>
        <w:ind w:firstLine="0"/>
      </w:pPr>
      <w:r>
        <w:rPr/>
        <w:t>、合法性承担法律责任。</w:t>
      </w:r>
    </w:p>
    <w:p>
      <w:pPr>
        <w:spacing w:after="0"/>
        <w:sectPr>
          <w:pgSz w:w="11910" w:h="16840"/>
          <w:pgMar w:header="0" w:footer="770" w:top="1360" w:bottom="960" w:left="1300" w:right="500"/>
        </w:sectPr>
      </w:pPr>
    </w:p>
    <w:p>
      <w:pPr>
        <w:pStyle w:val="Heading1"/>
        <w:spacing w:before="38"/>
        <w:ind w:left="2969"/>
      </w:pPr>
      <w:bookmarkStart w:name="第六章 投标文件格式" w:id="11"/>
      <w:bookmarkEnd w:id="11"/>
      <w:r>
        <w:rPr>
          <w:b w:val="0"/>
        </w:rPr>
      </w:r>
      <w:bookmarkStart w:name="_bookmark5" w:id="12"/>
      <w:bookmarkEnd w:id="12"/>
      <w:r>
        <w:rPr>
          <w:b w:val="0"/>
        </w:rPr>
      </w:r>
      <w:r>
        <w:rPr/>
        <w:t>第六章 投标文件格式</w:t>
      </w:r>
    </w:p>
    <w:p>
      <w:pPr>
        <w:spacing w:after="0"/>
        <w:sectPr>
          <w:pgSz w:w="11910" w:h="16840"/>
          <w:pgMar w:header="0" w:footer="770" w:top="1340" w:bottom="960" w:left="1300" w:right="50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
        <w:rPr>
          <w:b/>
          <w:sz w:val="19"/>
        </w:rPr>
      </w:pPr>
    </w:p>
    <w:p>
      <w:pPr>
        <w:pStyle w:val="Heading4"/>
        <w:tabs>
          <w:tab w:pos="3483" w:val="left" w:leader="none"/>
        </w:tabs>
        <w:spacing w:before="67"/>
        <w:ind w:left="2123"/>
        <w:rPr>
          <w:rFonts w:ascii="宋体" w:eastAsia="宋体" w:hint="eastAsia"/>
        </w:rPr>
      </w:pPr>
      <w:r>
        <w:rPr>
          <w:rFonts w:ascii="Times New Roman" w:eastAsia="Times New Roman"/>
          <w:u w:val="single"/>
        </w:rPr>
        <w:t> </w:t>
        <w:tab/>
      </w:r>
      <w:r>
        <w:rPr>
          <w:rFonts w:ascii="宋体" w:eastAsia="宋体" w:hint="eastAsia"/>
          <w:spacing w:val="7"/>
        </w:rPr>
        <w:t>（项目名称</w:t>
      </w:r>
      <w:r>
        <w:rPr>
          <w:rFonts w:ascii="宋体" w:eastAsia="宋体" w:hint="eastAsia"/>
          <w:spacing w:val="5"/>
        </w:rPr>
        <w:t>）</w:t>
      </w:r>
      <w:r>
        <w:rPr>
          <w:rFonts w:ascii="宋体" w:eastAsia="宋体" w:hint="eastAsia"/>
          <w:spacing w:val="2"/>
        </w:rPr>
        <w:t>项目</w:t>
      </w: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spacing w:before="8"/>
        <w:rPr>
          <w:sz w:val="42"/>
        </w:rPr>
      </w:pPr>
    </w:p>
    <w:p>
      <w:pPr>
        <w:spacing w:before="0"/>
        <w:ind w:left="3252" w:right="0" w:firstLine="0"/>
        <w:jc w:val="left"/>
        <w:rPr>
          <w:sz w:val="71"/>
        </w:rPr>
      </w:pPr>
      <w:r>
        <w:rPr>
          <w:spacing w:val="90"/>
          <w:sz w:val="71"/>
        </w:rPr>
        <w:t>投标文件</w:t>
      </w:r>
    </w:p>
    <w:p>
      <w:pPr>
        <w:pStyle w:val="BodyText"/>
        <w:rPr>
          <w:sz w:val="70"/>
        </w:rPr>
      </w:pPr>
    </w:p>
    <w:p>
      <w:pPr>
        <w:pStyle w:val="BodyText"/>
        <w:rPr>
          <w:sz w:val="70"/>
        </w:rPr>
      </w:pPr>
    </w:p>
    <w:p>
      <w:pPr>
        <w:pStyle w:val="BodyText"/>
        <w:rPr>
          <w:sz w:val="70"/>
        </w:rPr>
      </w:pPr>
    </w:p>
    <w:p>
      <w:pPr>
        <w:pStyle w:val="BodyText"/>
        <w:rPr>
          <w:sz w:val="70"/>
        </w:rPr>
      </w:pPr>
    </w:p>
    <w:p>
      <w:pPr>
        <w:pStyle w:val="BodyText"/>
        <w:spacing w:before="9"/>
        <w:rPr>
          <w:sz w:val="78"/>
        </w:rPr>
      </w:pPr>
    </w:p>
    <w:p>
      <w:pPr>
        <w:pStyle w:val="Heading7"/>
        <w:tabs>
          <w:tab w:pos="5674" w:val="left" w:leader="none"/>
          <w:tab w:pos="6252" w:val="left" w:leader="none"/>
        </w:tabs>
        <w:spacing w:line="491" w:lineRule="auto" w:before="1"/>
        <w:ind w:left="1930" w:right="2751"/>
        <w:rPr>
          <w:rFonts w:ascii="宋体" w:eastAsia="宋体" w:hint="eastAsia"/>
        </w:rPr>
      </w:pPr>
      <w:r>
        <w:rPr>
          <w:rFonts w:ascii="宋体" w:eastAsia="宋体" w:hint="eastAsia"/>
          <w:spacing w:val="-3"/>
        </w:rPr>
        <w:t>投标</w:t>
      </w:r>
      <w:r>
        <w:rPr>
          <w:rFonts w:ascii="宋体" w:eastAsia="宋体" w:hint="eastAsia"/>
        </w:rPr>
        <w:t>人</w:t>
      </w:r>
      <w:r>
        <w:rPr>
          <w:rFonts w:ascii="宋体" w:eastAsia="宋体" w:hint="eastAsia"/>
          <w:spacing w:val="-22"/>
        </w:rPr>
        <w:t>：</w:t>
      </w:r>
      <w:r>
        <w:rPr>
          <w:rFonts w:ascii="宋体" w:eastAsia="宋体" w:hint="eastAsia"/>
          <w:spacing w:val="-22"/>
          <w:u w:val="single"/>
        </w:rPr>
        <w:t> </w:t>
        <w:tab/>
      </w:r>
      <w:r>
        <w:rPr>
          <w:rFonts w:ascii="宋体" w:eastAsia="宋体" w:hint="eastAsia"/>
          <w:spacing w:val="-22"/>
        </w:rPr>
        <w:t>（</w:t>
      </w:r>
      <w:r>
        <w:rPr>
          <w:rFonts w:ascii="宋体" w:eastAsia="宋体" w:hint="eastAsia"/>
          <w:spacing w:val="-3"/>
        </w:rPr>
        <w:t>盖单</w:t>
      </w:r>
      <w:r>
        <w:rPr>
          <w:rFonts w:ascii="宋体" w:eastAsia="宋体" w:hint="eastAsia"/>
        </w:rPr>
        <w:t>位</w:t>
      </w:r>
      <w:r>
        <w:rPr>
          <w:rFonts w:ascii="宋体" w:eastAsia="宋体" w:hint="eastAsia"/>
          <w:spacing w:val="-3"/>
        </w:rPr>
        <w:t>章</w:t>
      </w:r>
      <w:r>
        <w:rPr>
          <w:rFonts w:ascii="宋体" w:eastAsia="宋体" w:hint="eastAsia"/>
        </w:rPr>
        <w:t>） </w:t>
      </w:r>
      <w:r>
        <w:rPr>
          <w:rFonts w:ascii="宋体" w:eastAsia="宋体" w:hint="eastAsia"/>
          <w:spacing w:val="-3"/>
        </w:rPr>
        <w:t>法定</w:t>
      </w:r>
      <w:r>
        <w:rPr>
          <w:rFonts w:ascii="宋体" w:eastAsia="宋体" w:hint="eastAsia"/>
          <w:spacing w:val="-5"/>
        </w:rPr>
        <w:t>代</w:t>
      </w:r>
      <w:r>
        <w:rPr>
          <w:rFonts w:ascii="宋体" w:eastAsia="宋体" w:hint="eastAsia"/>
          <w:spacing w:val="-3"/>
        </w:rPr>
        <w:t>表人或其委</w:t>
      </w:r>
      <w:r>
        <w:rPr>
          <w:rFonts w:ascii="宋体" w:eastAsia="宋体" w:hint="eastAsia"/>
          <w:spacing w:val="-5"/>
        </w:rPr>
        <w:t>托</w:t>
      </w:r>
      <w:r>
        <w:rPr>
          <w:rFonts w:ascii="宋体" w:eastAsia="宋体" w:hint="eastAsia"/>
          <w:spacing w:val="-3"/>
        </w:rPr>
        <w:t>代理人</w:t>
      </w:r>
      <w:r>
        <w:rPr>
          <w:rFonts w:ascii="宋体" w:eastAsia="宋体" w:hint="eastAsia"/>
          <w:spacing w:val="-20"/>
        </w:rPr>
        <w:t>：</w:t>
      </w:r>
      <w:r>
        <w:rPr>
          <w:rFonts w:ascii="宋体" w:eastAsia="宋体" w:hint="eastAsia"/>
          <w:spacing w:val="-20"/>
          <w:u w:val="single"/>
        </w:rPr>
        <w:t> </w:t>
        <w:tab/>
        <w:tab/>
      </w:r>
      <w:r>
        <w:rPr>
          <w:rFonts w:ascii="宋体" w:eastAsia="宋体" w:hint="eastAsia"/>
          <w:spacing w:val="-20"/>
        </w:rPr>
        <w:t>（</w:t>
      </w:r>
      <w:r>
        <w:rPr>
          <w:rFonts w:ascii="宋体" w:eastAsia="宋体" w:hint="eastAsia"/>
          <w:spacing w:val="-3"/>
        </w:rPr>
        <w:t>签字</w:t>
      </w:r>
      <w:r>
        <w:rPr>
          <w:rFonts w:ascii="宋体" w:eastAsia="宋体" w:hint="eastAsia"/>
        </w:rPr>
        <w:t>）</w:t>
      </w:r>
    </w:p>
    <w:p>
      <w:pPr>
        <w:pStyle w:val="Heading7"/>
        <w:tabs>
          <w:tab w:pos="4421" w:val="left" w:leader="none"/>
          <w:tab w:pos="5153" w:val="left" w:leader="none"/>
          <w:tab w:pos="5856" w:val="left" w:leader="none"/>
        </w:tabs>
        <w:spacing w:line="282" w:lineRule="exact"/>
        <w:ind w:left="3288"/>
        <w:rPr>
          <w:rFonts w:ascii="宋体" w:eastAsia="宋体" w:hint="eastAsia"/>
        </w:rPr>
      </w:pPr>
      <w:r>
        <w:rPr>
          <w:rFonts w:ascii="Times New Roman" w:eastAsia="Times New Roman"/>
          <w:w w:val="100"/>
          <w:u w:val="single"/>
        </w:rPr>
        <w:t> </w:t>
      </w:r>
      <w:r>
        <w:rPr>
          <w:rFonts w:ascii="Times New Roman" w:eastAsia="Times New Roman"/>
          <w:u w:val="single"/>
        </w:rPr>
        <w:tab/>
      </w:r>
      <w:r>
        <w:rPr>
          <w:rFonts w:ascii="宋体" w:eastAsia="宋体" w:hint="eastAsia"/>
          <w:spacing w:val="-13"/>
        </w:rPr>
        <w:t>年</w:t>
      </w:r>
      <w:r>
        <w:rPr>
          <w:rFonts w:ascii="宋体" w:eastAsia="宋体" w:hint="eastAsia"/>
          <w:spacing w:val="-13"/>
          <w:u w:val="single"/>
        </w:rPr>
        <w:t> </w:t>
        <w:tab/>
      </w:r>
      <w:r>
        <w:rPr>
          <w:rFonts w:ascii="宋体" w:eastAsia="宋体" w:hint="eastAsia"/>
          <w:spacing w:val="-13"/>
        </w:rPr>
        <w:t>月</w:t>
      </w:r>
      <w:r>
        <w:rPr>
          <w:rFonts w:ascii="宋体" w:eastAsia="宋体" w:hint="eastAsia"/>
          <w:spacing w:val="-13"/>
          <w:u w:val="single"/>
        </w:rPr>
        <w:t> </w:t>
        <w:tab/>
      </w:r>
      <w:r>
        <w:rPr>
          <w:rFonts w:ascii="宋体" w:eastAsia="宋体" w:hint="eastAsia"/>
        </w:rPr>
        <w:t>日</w:t>
      </w:r>
    </w:p>
    <w:p>
      <w:pPr>
        <w:spacing w:after="0" w:line="282" w:lineRule="exact"/>
        <w:rPr>
          <w:rFonts w:ascii="宋体" w:eastAsia="宋体" w:hint="eastAsia"/>
        </w:rPr>
        <w:sectPr>
          <w:pgSz w:w="11910" w:h="16840"/>
          <w:pgMar w:header="0" w:footer="770" w:top="1580" w:bottom="960" w:left="1300" w:right="500"/>
        </w:sectPr>
      </w:pPr>
    </w:p>
    <w:p>
      <w:pPr>
        <w:pStyle w:val="Heading3"/>
        <w:spacing w:line="569" w:lineRule="exact"/>
        <w:ind w:right="1137"/>
        <w:jc w:val="center"/>
        <w:rPr>
          <w:rFonts w:ascii="Microsoft JhengHei" w:eastAsia="Microsoft JhengHei" w:hint="eastAsia"/>
        </w:rPr>
      </w:pPr>
      <w:r>
        <w:rPr>
          <w:rFonts w:ascii="Microsoft JhengHei" w:eastAsia="Microsoft JhengHei" w:hint="eastAsia"/>
        </w:rPr>
        <w:t>目  录</w:t>
      </w:r>
    </w:p>
    <w:p>
      <w:pPr>
        <w:pStyle w:val="BodyText"/>
        <w:spacing w:before="1"/>
        <w:rPr>
          <w:rFonts w:ascii="Microsoft JhengHei"/>
          <w:b/>
          <w:sz w:val="24"/>
        </w:rPr>
      </w:pPr>
    </w:p>
    <w:p>
      <w:pPr>
        <w:pStyle w:val="BodyText"/>
        <w:spacing w:before="71"/>
        <w:ind w:left="368"/>
      </w:pPr>
      <w:r>
        <w:rPr/>
        <w:t>一、投标函及投标函附录</w:t>
      </w:r>
    </w:p>
    <w:p>
      <w:pPr>
        <w:pStyle w:val="BodyText"/>
        <w:spacing w:before="2"/>
        <w:rPr>
          <w:sz w:val="21"/>
        </w:rPr>
      </w:pPr>
    </w:p>
    <w:p>
      <w:pPr>
        <w:pStyle w:val="BodyText"/>
        <w:spacing w:line="494" w:lineRule="auto" w:before="1"/>
        <w:ind w:left="365" w:right="6193" w:firstLine="2"/>
      </w:pPr>
      <w:r>
        <w:rPr/>
        <w:t>二、法定代表人身份证明或授权委托书三、分项报价表</w:t>
      </w:r>
    </w:p>
    <w:p>
      <w:pPr>
        <w:pStyle w:val="BodyText"/>
        <w:spacing w:line="494" w:lineRule="auto" w:before="2"/>
        <w:ind w:left="384" w:right="7461" w:hanging="20"/>
      </w:pPr>
      <w:r>
        <w:rPr/>
        <w:t>四、采购需求条款偏离表五、资格审查资料</w:t>
      </w:r>
    </w:p>
    <w:p>
      <w:pPr>
        <w:pStyle w:val="BodyText"/>
        <w:spacing w:line="494" w:lineRule="auto"/>
        <w:ind w:left="368" w:right="6193"/>
      </w:pPr>
      <w:r>
        <w:rPr/>
        <w:t>六、投标人认为有必要提供的其他资料七、服务方案</w:t>
      </w:r>
    </w:p>
    <w:p>
      <w:pPr>
        <w:spacing w:after="0" w:line="494" w:lineRule="auto"/>
        <w:sectPr>
          <w:pgSz w:w="11910" w:h="16840"/>
          <w:pgMar w:header="0" w:footer="770" w:top="1540" w:bottom="960" w:left="1300" w:right="500"/>
        </w:sectPr>
      </w:pPr>
    </w:p>
    <w:p>
      <w:pPr>
        <w:pStyle w:val="Heading3"/>
        <w:spacing w:line="570" w:lineRule="exact"/>
        <w:ind w:left="2909"/>
        <w:rPr>
          <w:rFonts w:ascii="Microsoft JhengHei" w:eastAsia="Microsoft JhengHei" w:hint="eastAsia"/>
        </w:rPr>
      </w:pPr>
      <w:r>
        <w:rPr>
          <w:rFonts w:ascii="Microsoft JhengHei" w:eastAsia="Microsoft JhengHei" w:hint="eastAsia"/>
        </w:rPr>
        <w:t>一、投标函及投标函附录</w:t>
      </w:r>
    </w:p>
    <w:p>
      <w:pPr>
        <w:pStyle w:val="Heading6"/>
        <w:spacing w:before="102"/>
        <w:ind w:left="355" w:right="293"/>
        <w:jc w:val="center"/>
      </w:pPr>
      <w:r>
        <w:rPr/>
        <w:t>（一）投标函</w:t>
      </w:r>
    </w:p>
    <w:p>
      <w:pPr>
        <w:pStyle w:val="BodyText"/>
        <w:tabs>
          <w:tab w:pos="2225" w:val="left" w:leader="none"/>
        </w:tabs>
        <w:spacing w:before="16"/>
        <w:ind w:left="511"/>
      </w:pPr>
      <w:r>
        <w:rPr>
          <w:rFonts w:ascii="Times New Roman" w:eastAsia="Times New Roman"/>
          <w:w w:val="99"/>
          <w:u w:val="single"/>
        </w:rPr>
        <w:t> </w:t>
      </w:r>
      <w:r>
        <w:rPr>
          <w:rFonts w:ascii="Times New Roman" w:eastAsia="Times New Roman"/>
          <w:u w:val="single"/>
        </w:rPr>
        <w:tab/>
      </w:r>
      <w:r>
        <w:rPr>
          <w:spacing w:val="5"/>
        </w:rPr>
        <w:t>（招标人名称</w:t>
      </w:r>
      <w:r>
        <w:rPr/>
        <w:t>）：</w:t>
      </w:r>
    </w:p>
    <w:p>
      <w:pPr>
        <w:pStyle w:val="BodyText"/>
        <w:rPr>
          <w:sz w:val="22"/>
        </w:rPr>
      </w:pPr>
    </w:p>
    <w:p>
      <w:pPr>
        <w:pStyle w:val="BodyText"/>
        <w:tabs>
          <w:tab w:pos="1884" w:val="left" w:leader="none"/>
          <w:tab w:pos="4012" w:val="left" w:leader="none"/>
          <w:tab w:pos="4491" w:val="left" w:leader="none"/>
          <w:tab w:pos="7433" w:val="left" w:leader="none"/>
          <w:tab w:pos="9237" w:val="left" w:leader="none"/>
        </w:tabs>
        <w:spacing w:line="364" w:lineRule="auto"/>
        <w:ind w:left="115" w:right="866" w:firstLine="422"/>
        <w:rPr>
          <w:rFonts w:ascii="Times New Roman" w:eastAsia="Times New Roman"/>
        </w:rPr>
      </w:pPr>
      <w:r>
        <w:rPr>
          <w:rFonts w:ascii="Times New Roman" w:eastAsia="Times New Roman"/>
          <w:spacing w:val="5"/>
        </w:rPr>
        <w:t>1.</w:t>
      </w:r>
      <w:r>
        <w:rPr>
          <w:spacing w:val="5"/>
        </w:rPr>
        <w:t>我方</w:t>
      </w:r>
      <w:r>
        <w:rPr>
          <w:spacing w:val="7"/>
        </w:rPr>
        <w:t>已</w:t>
      </w:r>
      <w:r>
        <w:rPr>
          <w:spacing w:val="5"/>
        </w:rPr>
        <w:t>仔细研</w:t>
      </w:r>
      <w:r>
        <w:rPr>
          <w:spacing w:val="7"/>
        </w:rPr>
        <w:t>究了</w:t>
      </w:r>
      <w:r>
        <w:rPr>
          <w:spacing w:val="7"/>
          <w:u w:val="single"/>
        </w:rPr>
        <w:t> </w:t>
        <w:tab/>
        <w:tab/>
      </w:r>
      <w:r>
        <w:rPr>
          <w:spacing w:val="5"/>
        </w:rPr>
        <w:t>（项</w:t>
      </w:r>
      <w:r>
        <w:rPr>
          <w:spacing w:val="5"/>
        </w:rPr>
        <w:t>目</w:t>
      </w:r>
      <w:r>
        <w:rPr>
          <w:spacing w:val="5"/>
        </w:rPr>
        <w:t>名称）招标</w:t>
      </w:r>
      <w:r>
        <w:rPr>
          <w:spacing w:val="5"/>
        </w:rPr>
        <w:t>项</w:t>
      </w:r>
      <w:r>
        <w:rPr>
          <w:spacing w:val="5"/>
        </w:rPr>
        <w:t>目招标文件</w:t>
      </w:r>
      <w:r>
        <w:rPr>
          <w:spacing w:val="5"/>
        </w:rPr>
        <w:t>的</w:t>
      </w:r>
      <w:r>
        <w:rPr>
          <w:spacing w:val="5"/>
        </w:rPr>
        <w:t>全部内容</w:t>
      </w:r>
      <w:r>
        <w:rPr/>
        <w:t>，</w:t>
      </w:r>
      <w:r>
        <w:rPr>
          <w:spacing w:val="-30"/>
        </w:rPr>
        <w:t> </w:t>
      </w:r>
      <w:r>
        <w:rPr>
          <w:spacing w:val="5"/>
        </w:rPr>
        <w:t>愿</w:t>
      </w:r>
      <w:r>
        <w:rPr/>
        <w:t>意</w:t>
      </w:r>
      <w:r>
        <w:rPr>
          <w:spacing w:val="5"/>
        </w:rPr>
        <w:t>以人</w:t>
      </w:r>
      <w:r>
        <w:rPr>
          <w:spacing w:val="5"/>
        </w:rPr>
        <w:t>民</w:t>
      </w:r>
      <w:r>
        <w:rPr/>
        <w:t>币</w:t>
      </w:r>
      <w:r>
        <w:rPr>
          <w:u w:val="single"/>
        </w:rPr>
        <w:t> </w:t>
        <w:tab/>
      </w:r>
      <w:r>
        <w:rPr>
          <w:spacing w:val="5"/>
        </w:rPr>
        <w:t>（</w:t>
      </w:r>
      <w:r>
        <w:rPr>
          <w:spacing w:val="5"/>
        </w:rPr>
        <w:t>大</w:t>
      </w:r>
      <w:r>
        <w:rPr>
          <w:spacing w:val="5"/>
        </w:rPr>
        <w:t>写</w:t>
      </w:r>
      <w:r>
        <w:rPr>
          <w:spacing w:val="2"/>
        </w:rPr>
        <w:t>）</w:t>
      </w:r>
      <w:r>
        <w:rPr>
          <w:spacing w:val="2"/>
          <w:u w:val="single"/>
        </w:rPr>
        <w:tab/>
      </w:r>
      <w:r>
        <w:rPr>
          <w:spacing w:val="5"/>
        </w:rPr>
        <w:t>投</w:t>
      </w:r>
      <w:r>
        <w:rPr>
          <w:spacing w:val="5"/>
        </w:rPr>
        <w:t>标</w:t>
      </w:r>
      <w:r>
        <w:rPr>
          <w:spacing w:val="5"/>
        </w:rPr>
        <w:t>总</w:t>
      </w:r>
      <w:r>
        <w:rPr>
          <w:spacing w:val="5"/>
        </w:rPr>
        <w:t>报</w:t>
      </w:r>
      <w:r>
        <w:rPr>
          <w:spacing w:val="5"/>
        </w:rPr>
        <w:t>价</w:t>
      </w:r>
      <w:r>
        <w:rPr/>
        <w:t>,</w:t>
      </w:r>
      <w:r>
        <w:rPr>
          <w:spacing w:val="62"/>
        </w:rPr>
        <w:t> </w:t>
      </w:r>
      <w:r>
        <w:rPr/>
        <w:t>服务期限：</w:t>
      </w:r>
      <w:r>
        <w:rPr>
          <w:u w:val="single"/>
        </w:rPr>
        <w:t> </w:t>
        <w:tab/>
      </w:r>
      <w:r>
        <w:rPr>
          <w:w w:val="95"/>
        </w:rPr>
        <w:t>，质量标</w:t>
      </w:r>
      <w:r>
        <w:rPr>
          <w:spacing w:val="5"/>
          <w:w w:val="95"/>
        </w:rPr>
        <w:t>准</w:t>
      </w:r>
      <w:r>
        <w:rPr>
          <w:w w:val="95"/>
        </w:rPr>
        <w:t>：</w:t>
      </w:r>
      <w:r>
        <w:rPr>
          <w:rFonts w:ascii="Times New Roman" w:eastAsia="Times New Roman"/>
          <w:w w:val="95"/>
          <w:u w:val="single"/>
        </w:rPr>
        <w:t> </w:t>
      </w:r>
      <w:r>
        <w:rPr>
          <w:rFonts w:ascii="Times New Roman" w:eastAsia="Times New Roman"/>
          <w:u w:val="single"/>
        </w:rPr>
        <w:tab/>
      </w:r>
    </w:p>
    <w:p>
      <w:pPr>
        <w:pStyle w:val="BodyText"/>
        <w:spacing w:line="255" w:lineRule="exact"/>
        <w:ind w:right="7249"/>
        <w:jc w:val="center"/>
      </w:pPr>
      <w:r>
        <w:rPr/>
        <w:t>，按合同约定完成相关工作。</w:t>
      </w:r>
    </w:p>
    <w:p>
      <w:pPr>
        <w:pStyle w:val="BodyText"/>
        <w:spacing w:before="1"/>
        <w:rPr>
          <w:sz w:val="17"/>
        </w:rPr>
      </w:pPr>
    </w:p>
    <w:p>
      <w:pPr>
        <w:pStyle w:val="BodyText"/>
        <w:ind w:left="504"/>
      </w:pPr>
      <w:r>
        <w:rPr>
          <w:rFonts w:ascii="Times New Roman" w:eastAsia="Times New Roman"/>
        </w:rPr>
        <w:t>2.</w:t>
      </w:r>
      <w:r>
        <w:rPr/>
        <w:t>我方的投标文件包括下列内容：</w:t>
      </w:r>
    </w:p>
    <w:p>
      <w:pPr>
        <w:pStyle w:val="BodyText"/>
        <w:spacing w:before="164"/>
        <w:ind w:left="519"/>
      </w:pPr>
      <w:r>
        <w:rPr/>
        <w:t>（</w:t>
      </w:r>
      <w:r>
        <w:rPr>
          <w:rFonts w:ascii="Times New Roman" w:eastAsia="Times New Roman"/>
        </w:rPr>
        <w:t>1</w:t>
      </w:r>
      <w:r>
        <w:rPr/>
        <w:t>）投标函及投标函附录；</w:t>
      </w:r>
    </w:p>
    <w:p>
      <w:pPr>
        <w:pStyle w:val="BodyText"/>
        <w:spacing w:before="164"/>
        <w:ind w:left="519"/>
      </w:pPr>
      <w:r>
        <w:rPr/>
        <w:t>（</w:t>
      </w:r>
      <w:r>
        <w:rPr>
          <w:rFonts w:ascii="Times New Roman" w:eastAsia="Times New Roman"/>
        </w:rPr>
        <w:t>2</w:t>
      </w:r>
      <w:r>
        <w:rPr/>
        <w:t>）法定代表人身份证明或授权委托书；</w:t>
      </w:r>
    </w:p>
    <w:p>
      <w:pPr>
        <w:pStyle w:val="BodyText"/>
        <w:spacing w:before="163"/>
        <w:ind w:left="519"/>
      </w:pPr>
      <w:r>
        <w:rPr/>
        <w:t>（</w:t>
      </w:r>
      <w:r>
        <w:rPr>
          <w:rFonts w:ascii="Times New Roman" w:eastAsia="Times New Roman"/>
        </w:rPr>
        <w:t>3</w:t>
      </w:r>
      <w:r>
        <w:rPr/>
        <w:t>）联合体协议书（如有）；</w:t>
      </w:r>
    </w:p>
    <w:p>
      <w:pPr>
        <w:pStyle w:val="BodyText"/>
        <w:spacing w:before="166"/>
        <w:ind w:left="519"/>
      </w:pPr>
      <w:r>
        <w:rPr/>
        <w:t>（</w:t>
      </w:r>
      <w:r>
        <w:rPr>
          <w:rFonts w:ascii="Times New Roman" w:eastAsia="Times New Roman"/>
        </w:rPr>
        <w:t>4</w:t>
      </w:r>
      <w:r>
        <w:rPr/>
        <w:t>）投标保证金（如有）；</w:t>
      </w:r>
    </w:p>
    <w:p>
      <w:pPr>
        <w:pStyle w:val="BodyText"/>
        <w:spacing w:before="164"/>
        <w:ind w:left="519"/>
      </w:pPr>
      <w:r>
        <w:rPr/>
        <w:t>（</w:t>
      </w:r>
      <w:r>
        <w:rPr>
          <w:rFonts w:ascii="Times New Roman" w:eastAsia="Times New Roman"/>
        </w:rPr>
        <w:t>5</w:t>
      </w:r>
      <w:r>
        <w:rPr/>
        <w:t>）投标报价；</w:t>
      </w:r>
    </w:p>
    <w:p>
      <w:pPr>
        <w:pStyle w:val="BodyText"/>
        <w:spacing w:before="166"/>
        <w:ind w:left="519"/>
      </w:pPr>
      <w:r>
        <w:rPr/>
        <w:t>（</w:t>
      </w:r>
      <w:r>
        <w:rPr>
          <w:rFonts w:ascii="Times New Roman" w:eastAsia="Times New Roman"/>
        </w:rPr>
        <w:t>6</w:t>
      </w:r>
      <w:r>
        <w:rPr/>
        <w:t>）资格审查资料；</w:t>
      </w:r>
    </w:p>
    <w:p>
      <w:pPr>
        <w:pStyle w:val="BodyText"/>
        <w:spacing w:before="167"/>
        <w:ind w:left="519"/>
      </w:pPr>
      <w:r>
        <w:rPr/>
        <w:t>（</w:t>
      </w:r>
      <w:r>
        <w:rPr>
          <w:rFonts w:ascii="Times New Roman" w:eastAsia="Times New Roman"/>
        </w:rPr>
        <w:t>7</w:t>
      </w:r>
      <w:r>
        <w:rPr/>
        <w:t>）服务方案；</w:t>
      </w:r>
    </w:p>
    <w:p>
      <w:pPr>
        <w:pStyle w:val="BodyText"/>
        <w:spacing w:before="163"/>
        <w:ind w:left="535"/>
      </w:pPr>
      <w:r>
        <w:rPr/>
        <w:t>投标文件的上述组成部分如存在内容不一致的，以投标函为准。</w:t>
      </w:r>
    </w:p>
    <w:p>
      <w:pPr>
        <w:pStyle w:val="BodyText"/>
        <w:spacing w:before="4"/>
        <w:rPr>
          <w:sz w:val="22"/>
        </w:rPr>
      </w:pPr>
    </w:p>
    <w:p>
      <w:pPr>
        <w:pStyle w:val="BodyText"/>
        <w:spacing w:before="1"/>
        <w:ind w:left="502" w:right="4521" w:firstLine="7"/>
      </w:pPr>
      <w:r>
        <w:rPr>
          <w:rFonts w:ascii="Times New Roman" w:eastAsia="Times New Roman"/>
          <w:spacing w:val="2"/>
          <w:w w:val="95"/>
        </w:rPr>
        <w:t>3.</w:t>
      </w:r>
      <w:r>
        <w:rPr>
          <w:spacing w:val="3"/>
          <w:w w:val="95"/>
        </w:rPr>
        <w:t>我方承诺在招标文件规定的投标有效期内不撤销投标文 </w:t>
      </w:r>
      <w:r>
        <w:rPr>
          <w:spacing w:val="2"/>
        </w:rPr>
        <w:t>件。 </w:t>
      </w:r>
      <w:r>
        <w:rPr>
          <w:rFonts w:ascii="Times New Roman" w:eastAsia="Times New Roman"/>
          <w:spacing w:val="2"/>
        </w:rPr>
        <w:t>4.</w:t>
      </w:r>
      <w:r>
        <w:rPr>
          <w:spacing w:val="3"/>
        </w:rPr>
        <w:t>如我方中标，我方承诺：</w:t>
      </w:r>
    </w:p>
    <w:p>
      <w:pPr>
        <w:pStyle w:val="BodyText"/>
        <w:spacing w:before="37"/>
        <w:ind w:left="519"/>
      </w:pPr>
      <w:r>
        <w:rPr/>
        <w:t>（</w:t>
      </w:r>
      <w:r>
        <w:rPr>
          <w:rFonts w:ascii="Times New Roman" w:eastAsia="Times New Roman"/>
        </w:rPr>
        <w:t>1</w:t>
      </w:r>
      <w:r>
        <w:rPr/>
        <w:t>）在收到中标通知书后，在中标通知书规定的期限内与你方签订合同；</w:t>
      </w:r>
    </w:p>
    <w:p>
      <w:pPr>
        <w:pStyle w:val="BodyText"/>
        <w:spacing w:before="163"/>
        <w:ind w:left="519"/>
      </w:pPr>
      <w:r>
        <w:rPr/>
        <w:t>（</w:t>
      </w:r>
      <w:r>
        <w:rPr>
          <w:rFonts w:ascii="Times New Roman" w:eastAsia="Times New Roman"/>
        </w:rPr>
        <w:t>2</w:t>
      </w:r>
      <w:r>
        <w:rPr/>
        <w:t>）在签订合同时不向你方提出附加条件；</w:t>
      </w:r>
    </w:p>
    <w:p>
      <w:pPr>
        <w:pStyle w:val="BodyText"/>
        <w:spacing w:before="167"/>
        <w:ind w:left="519"/>
      </w:pPr>
      <w:r>
        <w:rPr/>
        <w:t>（</w:t>
      </w:r>
      <w:r>
        <w:rPr>
          <w:rFonts w:ascii="Times New Roman" w:eastAsia="Times New Roman"/>
        </w:rPr>
        <w:t>3</w:t>
      </w:r>
      <w:r>
        <w:rPr/>
        <w:t>）按照招标文件要求提交履约保证金；</w:t>
      </w:r>
    </w:p>
    <w:p>
      <w:pPr>
        <w:pStyle w:val="BodyText"/>
        <w:spacing w:before="163"/>
        <w:ind w:left="519"/>
      </w:pPr>
      <w:r>
        <w:rPr/>
        <w:t>（</w:t>
      </w:r>
      <w:r>
        <w:rPr>
          <w:rFonts w:ascii="Times New Roman" w:eastAsia="Times New Roman"/>
        </w:rPr>
        <w:t>4</w:t>
      </w:r>
      <w:r>
        <w:rPr/>
        <w:t>）在合同约定的期限内完成合同规定的全部义务。</w:t>
      </w:r>
    </w:p>
    <w:p>
      <w:pPr>
        <w:pStyle w:val="BodyText"/>
        <w:spacing w:line="242" w:lineRule="auto" w:before="164"/>
        <w:ind w:left="475" w:right="2104" w:firstLine="28"/>
      </w:pPr>
      <w:r>
        <w:rPr>
          <w:rFonts w:ascii="Times New Roman" w:hAnsi="Times New Roman" w:eastAsia="Times New Roman"/>
          <w:spacing w:val="1"/>
          <w:w w:val="95"/>
        </w:rPr>
        <w:t>5.</w:t>
      </w:r>
      <w:r>
        <w:rPr>
          <w:spacing w:val="3"/>
          <w:w w:val="95"/>
        </w:rPr>
        <w:t>我方在此声明，所递交的投标文件及有关资料内容完整、真实和准确，且不存在第  </w:t>
      </w:r>
      <w:r>
        <w:rPr>
          <w:spacing w:val="7"/>
        </w:rPr>
        <w:t>二章 </w:t>
      </w:r>
      <w:r>
        <w:rPr>
          <w:rFonts w:ascii="Times New Roman" w:hAnsi="Times New Roman" w:eastAsia="Times New Roman"/>
          <w:spacing w:val="5"/>
        </w:rPr>
        <w:t>“</w:t>
      </w:r>
      <w:r>
        <w:rPr>
          <w:spacing w:val="5"/>
        </w:rPr>
        <w:t>投标人须知</w:t>
      </w:r>
      <w:r>
        <w:rPr>
          <w:rFonts w:ascii="Times New Roman" w:hAnsi="Times New Roman" w:eastAsia="Times New Roman"/>
          <w:spacing w:val="10"/>
        </w:rPr>
        <w:t>”</w:t>
      </w:r>
      <w:r>
        <w:rPr>
          <w:spacing w:val="-10"/>
        </w:rPr>
        <w:t>第 </w:t>
      </w:r>
      <w:r>
        <w:rPr>
          <w:rFonts w:ascii="Times New Roman" w:hAnsi="Times New Roman" w:eastAsia="Times New Roman"/>
          <w:spacing w:val="3"/>
        </w:rPr>
        <w:t>1.4.3</w:t>
      </w:r>
      <w:r>
        <w:rPr>
          <w:rFonts w:ascii="Times New Roman" w:hAnsi="Times New Roman" w:eastAsia="Times New Roman"/>
          <w:spacing w:val="20"/>
        </w:rPr>
        <w:t> </w:t>
      </w:r>
      <w:r>
        <w:rPr>
          <w:spacing w:val="5"/>
        </w:rPr>
        <w:t>项规定的任何一种情形。</w:t>
      </w:r>
    </w:p>
    <w:p>
      <w:pPr>
        <w:pStyle w:val="BodyText"/>
        <w:tabs>
          <w:tab w:pos="4104" w:val="left" w:leader="none"/>
        </w:tabs>
        <w:spacing w:before="154"/>
        <w:ind w:left="504"/>
      </w:pPr>
      <w:r>
        <w:rPr>
          <w:rFonts w:ascii="Times New Roman" w:eastAsia="Times New Roman"/>
        </w:rPr>
        <w:t>6.</w:t>
      </w:r>
      <w:r>
        <w:rPr>
          <w:rFonts w:ascii="Times New Roman" w:eastAsia="Times New Roman"/>
          <w:u w:val="single"/>
        </w:rPr>
        <w:t> </w:t>
        <w:tab/>
      </w:r>
      <w:r>
        <w:rPr/>
        <w:t>（</w:t>
      </w:r>
      <w:r>
        <w:rPr>
          <w:spacing w:val="-1"/>
        </w:rPr>
        <w:t>其他补充说明</w:t>
      </w:r>
      <w:r>
        <w:rPr/>
        <w:t>）。</w:t>
      </w:r>
    </w:p>
    <w:p>
      <w:pPr>
        <w:pStyle w:val="BodyText"/>
        <w:tabs>
          <w:tab w:pos="7419" w:val="left" w:leader="none"/>
          <w:tab w:pos="7824" w:val="left" w:leader="none"/>
        </w:tabs>
        <w:spacing w:line="393" w:lineRule="auto" w:before="164"/>
        <w:ind w:left="3382" w:right="1465" w:hanging="17"/>
      </w:pPr>
      <w:r>
        <w:rPr/>
        <w:t>投 标</w:t>
      </w:r>
      <w:r>
        <w:rPr>
          <w:spacing w:val="-77"/>
        </w:rPr>
        <w:t> </w:t>
      </w:r>
      <w:r>
        <w:rPr>
          <w:spacing w:val="5"/>
        </w:rPr>
        <w:t>人</w:t>
      </w:r>
      <w:r>
        <w:rPr>
          <w:spacing w:val="-3"/>
        </w:rPr>
        <w:t>：</w:t>
      </w:r>
      <w:r>
        <w:rPr>
          <w:spacing w:val="-3"/>
          <w:u w:val="single"/>
        </w:rPr>
        <w:t> </w:t>
        <w:tab/>
      </w:r>
      <w:r>
        <w:rPr>
          <w:spacing w:val="-3"/>
        </w:rPr>
        <w:t>（</w:t>
      </w:r>
      <w:r>
        <w:rPr>
          <w:spacing w:val="5"/>
        </w:rPr>
        <w:t>盖单</w:t>
      </w:r>
      <w:r>
        <w:rPr>
          <w:spacing w:val="5"/>
        </w:rPr>
        <w:t>位</w:t>
      </w:r>
      <w:r>
        <w:rPr>
          <w:spacing w:val="5"/>
        </w:rPr>
        <w:t>章</w:t>
      </w:r>
      <w:r>
        <w:rPr/>
        <w:t>） </w:t>
      </w:r>
      <w:r>
        <w:rPr>
          <w:spacing w:val="7"/>
        </w:rPr>
        <w:t>法</w:t>
      </w:r>
      <w:r>
        <w:rPr>
          <w:spacing w:val="5"/>
        </w:rPr>
        <w:t>定</w:t>
      </w:r>
      <w:r>
        <w:rPr>
          <w:spacing w:val="7"/>
        </w:rPr>
        <w:t>代表</w:t>
      </w:r>
      <w:r>
        <w:rPr>
          <w:spacing w:val="5"/>
        </w:rPr>
        <w:t>人</w:t>
      </w:r>
      <w:r>
        <w:rPr>
          <w:spacing w:val="7"/>
        </w:rPr>
        <w:t>或其</w:t>
      </w:r>
      <w:r>
        <w:rPr>
          <w:spacing w:val="5"/>
        </w:rPr>
        <w:t>委</w:t>
      </w:r>
      <w:r>
        <w:rPr>
          <w:spacing w:val="7"/>
        </w:rPr>
        <w:t>托代</w:t>
      </w:r>
      <w:r>
        <w:rPr>
          <w:spacing w:val="5"/>
        </w:rPr>
        <w:t>理</w:t>
      </w:r>
      <w:r>
        <w:rPr>
          <w:spacing w:val="7"/>
        </w:rPr>
        <w:t>人</w:t>
      </w:r>
      <w:r>
        <w:rPr>
          <w:spacing w:val="-3"/>
        </w:rPr>
        <w:t>：</w:t>
      </w:r>
      <w:r>
        <w:rPr>
          <w:spacing w:val="-3"/>
          <w:u w:val="single"/>
        </w:rPr>
        <w:t> </w:t>
        <w:tab/>
        <w:tab/>
      </w:r>
      <w:r>
        <w:rPr>
          <w:spacing w:val="-3"/>
        </w:rPr>
        <w:t>（</w:t>
      </w:r>
      <w:r>
        <w:rPr>
          <w:spacing w:val="7"/>
        </w:rPr>
        <w:t>签</w:t>
      </w:r>
      <w:r>
        <w:rPr>
          <w:spacing w:val="5"/>
        </w:rPr>
        <w:t>字</w:t>
      </w:r>
      <w:r>
        <w:rPr/>
        <w:t>）</w:t>
      </w:r>
    </w:p>
    <w:p>
      <w:pPr>
        <w:pStyle w:val="BodyText"/>
        <w:tabs>
          <w:tab w:pos="7053" w:val="left" w:leader="none"/>
          <w:tab w:pos="8149" w:val="left" w:leader="none"/>
          <w:tab w:pos="8351" w:val="left" w:leader="none"/>
        </w:tabs>
        <w:spacing w:line="295" w:lineRule="auto"/>
        <w:ind w:left="3689" w:right="1745" w:hanging="3"/>
        <w:rPr>
          <w:rFonts w:ascii="Times New Roman" w:eastAsia="Times New Roman"/>
        </w:rPr>
      </w:pPr>
      <w:r>
        <w:rPr>
          <w:spacing w:val="5"/>
          <w:w w:val="95"/>
        </w:rPr>
        <w:t>地</w:t>
      </w:r>
      <w:r>
        <w:rPr>
          <w:spacing w:val="5"/>
          <w:w w:val="95"/>
        </w:rPr>
        <w:t>址</w:t>
      </w:r>
      <w:r>
        <w:rPr>
          <w:spacing w:val="2"/>
          <w:w w:val="95"/>
        </w:rPr>
        <w:t>：</w:t>
      </w:r>
      <w:r>
        <w:rPr>
          <w:spacing w:val="2"/>
          <w:w w:val="95"/>
          <w:u w:val="single"/>
        </w:rPr>
        <w:tab/>
        <w:tab/>
      </w:r>
      <w:r>
        <w:rPr>
          <w:w w:val="95"/>
        </w:rPr>
        <w:t> </w:t>
      </w:r>
      <w:r>
        <w:rPr/>
        <w:t>网址：</w:t>
      </w:r>
      <w:r>
        <w:rPr>
          <w:rFonts w:ascii="Times New Roman" w:eastAsia="Times New Roman"/>
          <w:w w:val="99"/>
          <w:u w:val="single"/>
        </w:rPr>
        <w:t> </w:t>
      </w:r>
      <w:r>
        <w:rPr>
          <w:rFonts w:ascii="Times New Roman" w:eastAsia="Times New Roman"/>
          <w:u w:val="single"/>
        </w:rPr>
        <w:tab/>
        <w:tab/>
        <w:tab/>
      </w:r>
      <w:r>
        <w:rPr>
          <w:rFonts w:ascii="Times New Roman" w:eastAsia="Times New Roman"/>
          <w:spacing w:val="-3"/>
          <w:u w:val="single"/>
        </w:rPr>
        <w:t>                                           </w:t>
      </w:r>
      <w:r>
        <w:rPr>
          <w:rFonts w:ascii="Times New Roman" w:eastAsia="Times New Roman"/>
          <w:spacing w:val="33"/>
          <w:u w:val="single"/>
        </w:rPr>
        <w:t> </w:t>
      </w:r>
      <w:r>
        <w:rPr>
          <w:spacing w:val="-3"/>
          <w:w w:val="95"/>
        </w:rPr>
        <w:t>电</w:t>
      </w:r>
      <w:r>
        <w:rPr>
          <w:w w:val="95"/>
        </w:rPr>
        <w:t>话：</w:t>
      </w:r>
      <w:r>
        <w:rPr>
          <w:w w:val="95"/>
          <w:u w:val="single"/>
        </w:rPr>
        <w:tab/>
        <w:tab/>
        <w:tab/>
      </w:r>
      <w:r>
        <w:rPr>
          <w:spacing w:val="5"/>
          <w:w w:val="95"/>
          <w:u w:val="single"/>
        </w:rPr>
        <w:t>                                   </w:t>
      </w:r>
      <w:r>
        <w:rPr>
          <w:spacing w:val="75"/>
          <w:w w:val="95"/>
          <w:u w:val="single"/>
        </w:rPr>
        <w:t> </w:t>
      </w:r>
      <w:r>
        <w:rPr>
          <w:spacing w:val="5"/>
          <w:w w:val="95"/>
        </w:rPr>
        <w:t>传真：</w:t>
      </w:r>
      <w:r>
        <w:rPr>
          <w:spacing w:val="5"/>
          <w:w w:val="95"/>
          <w:u w:val="single"/>
        </w:rPr>
        <w:tab/>
        <w:tab/>
        <w:tab/>
      </w:r>
      <w:r>
        <w:rPr>
          <w:spacing w:val="5"/>
          <w:w w:val="95"/>
          <w:u w:val="single"/>
        </w:rPr>
        <w:t>                                    </w:t>
      </w:r>
      <w:r>
        <w:rPr>
          <w:spacing w:val="10"/>
          <w:w w:val="95"/>
          <w:u w:val="single"/>
        </w:rPr>
        <w:t> </w:t>
      </w:r>
      <w:r>
        <w:rPr>
          <w:spacing w:val="5"/>
          <w:w w:val="95"/>
        </w:rPr>
        <w:t>邮</w:t>
      </w:r>
      <w:r>
        <w:rPr>
          <w:w w:val="95"/>
        </w:rPr>
        <w:t>政</w:t>
      </w:r>
      <w:r>
        <w:rPr>
          <w:spacing w:val="5"/>
          <w:w w:val="95"/>
        </w:rPr>
        <w:t>编</w:t>
      </w:r>
      <w:r>
        <w:rPr>
          <w:w w:val="95"/>
        </w:rPr>
        <w:t>码</w:t>
      </w:r>
      <w:r>
        <w:rPr>
          <w:spacing w:val="5"/>
          <w:w w:val="95"/>
        </w:rPr>
        <w:t>：</w:t>
      </w:r>
      <w:r>
        <w:rPr>
          <w:rFonts w:ascii="Times New Roman" w:eastAsia="Times New Roman"/>
          <w:w w:val="95"/>
          <w:u w:val="single"/>
        </w:rPr>
        <w:t> </w:t>
      </w:r>
      <w:r>
        <w:rPr>
          <w:rFonts w:ascii="Times New Roman" w:eastAsia="Times New Roman"/>
          <w:u w:val="single"/>
        </w:rPr>
        <w:tab/>
      </w:r>
    </w:p>
    <w:p>
      <w:pPr>
        <w:pStyle w:val="BodyText"/>
        <w:tabs>
          <w:tab w:pos="7013" w:val="left" w:leader="none"/>
          <w:tab w:pos="7947" w:val="left" w:leader="none"/>
          <w:tab w:pos="8913" w:val="left" w:leader="none"/>
        </w:tabs>
        <w:spacing w:before="32"/>
        <w:ind w:left="6267"/>
      </w:pPr>
      <w:r>
        <w:rPr>
          <w:rFonts w:ascii="Times New Roman" w:eastAsia="Times New Roman"/>
          <w:w w:val="99"/>
          <w:u w:val="single"/>
        </w:rPr>
        <w:t> </w:t>
      </w:r>
      <w:r>
        <w:rPr>
          <w:rFonts w:ascii="Times New Roman" w:eastAsia="Times New Roman"/>
          <w:u w:val="single"/>
        </w:rPr>
        <w:tab/>
      </w:r>
      <w:r>
        <w:rPr>
          <w:spacing w:val="-13"/>
        </w:rPr>
        <w:t>年</w:t>
      </w:r>
      <w:r>
        <w:rPr>
          <w:spacing w:val="-13"/>
          <w:u w:val="single"/>
        </w:rPr>
        <w:t> </w:t>
        <w:tab/>
      </w:r>
      <w:r>
        <w:rPr>
          <w:spacing w:val="-13"/>
        </w:rPr>
        <w:t>月</w:t>
      </w:r>
      <w:r>
        <w:rPr>
          <w:spacing w:val="-13"/>
          <w:u w:val="single"/>
        </w:rPr>
        <w:t> </w:t>
        <w:tab/>
      </w:r>
      <w:r>
        <w:rPr/>
        <w:t>日</w:t>
      </w:r>
    </w:p>
    <w:p>
      <w:pPr>
        <w:spacing w:after="0"/>
        <w:sectPr>
          <w:pgSz w:w="11910" w:h="16840"/>
          <w:pgMar w:header="0" w:footer="770" w:top="1280" w:bottom="960" w:left="1300" w:right="500"/>
        </w:sectPr>
      </w:pPr>
    </w:p>
    <w:p>
      <w:pPr>
        <w:pStyle w:val="Heading6"/>
        <w:spacing w:before="44"/>
        <w:ind w:left="3831"/>
      </w:pPr>
      <w:r>
        <w:rPr/>
        <w:t>（二）投标函附录</w:t>
      </w:r>
    </w:p>
    <w:p>
      <w:pPr>
        <w:pStyle w:val="BodyText"/>
        <w:rPr>
          <w:b/>
          <w:sz w:val="23"/>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640"/>
        <w:gridCol w:w="2605"/>
        <w:gridCol w:w="2734"/>
        <w:gridCol w:w="1782"/>
      </w:tblGrid>
      <w:tr>
        <w:trPr>
          <w:trHeight w:val="563" w:hRule="atLeast"/>
        </w:trPr>
        <w:tc>
          <w:tcPr>
            <w:tcW w:w="1640" w:type="dxa"/>
          </w:tcPr>
          <w:p>
            <w:pPr>
              <w:pStyle w:val="TableParagraph"/>
              <w:spacing w:before="101"/>
              <w:ind w:left="796" w:right="374"/>
              <w:jc w:val="center"/>
              <w:rPr>
                <w:sz w:val="20"/>
              </w:rPr>
            </w:pPr>
            <w:r>
              <w:rPr>
                <w:sz w:val="20"/>
              </w:rPr>
              <w:t>序号</w:t>
            </w:r>
          </w:p>
        </w:tc>
        <w:tc>
          <w:tcPr>
            <w:tcW w:w="2605" w:type="dxa"/>
          </w:tcPr>
          <w:p>
            <w:pPr>
              <w:pStyle w:val="TableParagraph"/>
              <w:spacing w:before="101"/>
              <w:ind w:left="985" w:right="570"/>
              <w:jc w:val="center"/>
              <w:rPr>
                <w:sz w:val="20"/>
              </w:rPr>
            </w:pPr>
            <w:r>
              <w:rPr>
                <w:sz w:val="20"/>
              </w:rPr>
              <w:t>条款名称</w:t>
            </w:r>
          </w:p>
        </w:tc>
        <w:tc>
          <w:tcPr>
            <w:tcW w:w="2734" w:type="dxa"/>
          </w:tcPr>
          <w:p>
            <w:pPr>
              <w:pStyle w:val="TableParagraph"/>
              <w:spacing w:before="101"/>
              <w:ind w:left="1168"/>
              <w:rPr>
                <w:sz w:val="20"/>
              </w:rPr>
            </w:pPr>
            <w:r>
              <w:rPr>
                <w:sz w:val="20"/>
              </w:rPr>
              <w:t>约定内容</w:t>
            </w:r>
          </w:p>
        </w:tc>
        <w:tc>
          <w:tcPr>
            <w:tcW w:w="1782" w:type="dxa"/>
          </w:tcPr>
          <w:p>
            <w:pPr>
              <w:pStyle w:val="TableParagraph"/>
              <w:spacing w:before="101"/>
              <w:ind w:left="899"/>
              <w:rPr>
                <w:sz w:val="20"/>
              </w:rPr>
            </w:pPr>
            <w:r>
              <w:rPr>
                <w:sz w:val="20"/>
              </w:rPr>
              <w:t>备注</w:t>
            </w:r>
          </w:p>
        </w:tc>
      </w:tr>
      <w:tr>
        <w:trPr>
          <w:trHeight w:val="468" w:hRule="atLeast"/>
        </w:trPr>
        <w:tc>
          <w:tcPr>
            <w:tcW w:w="1640" w:type="dxa"/>
          </w:tcPr>
          <w:p>
            <w:pPr>
              <w:pStyle w:val="TableParagraph"/>
              <w:spacing w:before="69"/>
              <w:ind w:left="464"/>
              <w:jc w:val="center"/>
              <w:rPr>
                <w:rFonts w:ascii="Times New Roman"/>
                <w:sz w:val="20"/>
              </w:rPr>
            </w:pPr>
            <w:r>
              <w:rPr>
                <w:rFonts w:ascii="Times New Roman"/>
                <w:w w:val="99"/>
                <w:sz w:val="20"/>
              </w:rPr>
              <w:t>1</w:t>
            </w:r>
          </w:p>
        </w:tc>
        <w:tc>
          <w:tcPr>
            <w:tcW w:w="2605" w:type="dxa"/>
          </w:tcPr>
          <w:p>
            <w:pPr>
              <w:pStyle w:val="TableParagraph"/>
              <w:spacing w:before="53"/>
              <w:ind w:left="987" w:right="567"/>
              <w:jc w:val="center"/>
              <w:rPr>
                <w:sz w:val="20"/>
              </w:rPr>
            </w:pPr>
            <w:r>
              <w:rPr>
                <w:sz w:val="20"/>
              </w:rPr>
              <w:t>项目负责人</w:t>
            </w:r>
          </w:p>
        </w:tc>
        <w:tc>
          <w:tcPr>
            <w:tcW w:w="2734" w:type="dxa"/>
          </w:tcPr>
          <w:p>
            <w:pPr>
              <w:pStyle w:val="TableParagraph"/>
              <w:spacing w:before="53"/>
              <w:ind w:left="535"/>
              <w:rPr>
                <w:sz w:val="20"/>
              </w:rPr>
            </w:pPr>
            <w:r>
              <w:rPr>
                <w:sz w:val="20"/>
              </w:rPr>
              <w:t>姓名：</w:t>
            </w:r>
          </w:p>
        </w:tc>
        <w:tc>
          <w:tcPr>
            <w:tcW w:w="1782" w:type="dxa"/>
          </w:tcPr>
          <w:p>
            <w:pPr>
              <w:pStyle w:val="TableParagraph"/>
              <w:rPr>
                <w:rFonts w:ascii="Times New Roman"/>
                <w:sz w:val="20"/>
              </w:rPr>
            </w:pPr>
          </w:p>
        </w:tc>
      </w:tr>
      <w:tr>
        <w:trPr>
          <w:trHeight w:val="467" w:hRule="atLeast"/>
        </w:trPr>
        <w:tc>
          <w:tcPr>
            <w:tcW w:w="1640" w:type="dxa"/>
          </w:tcPr>
          <w:p>
            <w:pPr>
              <w:pStyle w:val="TableParagraph"/>
              <w:spacing w:before="68"/>
              <w:ind w:left="426"/>
              <w:jc w:val="center"/>
              <w:rPr>
                <w:rFonts w:ascii="Times New Roman"/>
                <w:sz w:val="20"/>
              </w:rPr>
            </w:pPr>
            <w:r>
              <w:rPr>
                <w:rFonts w:ascii="Times New Roman"/>
                <w:w w:val="99"/>
                <w:sz w:val="20"/>
              </w:rPr>
              <w:t>2</w:t>
            </w:r>
          </w:p>
        </w:tc>
        <w:tc>
          <w:tcPr>
            <w:tcW w:w="2605" w:type="dxa"/>
          </w:tcPr>
          <w:p>
            <w:pPr>
              <w:pStyle w:val="TableParagraph"/>
              <w:spacing w:before="52"/>
              <w:ind w:left="985" w:right="570"/>
              <w:jc w:val="center"/>
              <w:rPr>
                <w:sz w:val="20"/>
              </w:rPr>
            </w:pPr>
            <w:r>
              <w:rPr>
                <w:sz w:val="20"/>
              </w:rPr>
              <w:t>服务期限</w:t>
            </w:r>
          </w:p>
        </w:tc>
        <w:tc>
          <w:tcPr>
            <w:tcW w:w="2734" w:type="dxa"/>
          </w:tcPr>
          <w:p>
            <w:pPr>
              <w:pStyle w:val="TableParagraph"/>
              <w:rPr>
                <w:rFonts w:ascii="Times New Roman"/>
                <w:sz w:val="20"/>
              </w:rPr>
            </w:pPr>
          </w:p>
        </w:tc>
        <w:tc>
          <w:tcPr>
            <w:tcW w:w="1782" w:type="dxa"/>
          </w:tcPr>
          <w:p>
            <w:pPr>
              <w:pStyle w:val="TableParagraph"/>
              <w:rPr>
                <w:rFonts w:ascii="Times New Roman"/>
                <w:sz w:val="20"/>
              </w:rPr>
            </w:pPr>
          </w:p>
        </w:tc>
      </w:tr>
      <w:tr>
        <w:trPr>
          <w:trHeight w:val="465" w:hRule="atLeast"/>
        </w:trPr>
        <w:tc>
          <w:tcPr>
            <w:tcW w:w="1640" w:type="dxa"/>
          </w:tcPr>
          <w:p>
            <w:pPr>
              <w:pStyle w:val="TableParagraph"/>
              <w:spacing w:before="69"/>
              <w:ind w:left="431"/>
              <w:jc w:val="center"/>
              <w:rPr>
                <w:rFonts w:ascii="Times New Roman"/>
                <w:sz w:val="20"/>
              </w:rPr>
            </w:pPr>
            <w:r>
              <w:rPr>
                <w:rFonts w:ascii="Times New Roman"/>
                <w:w w:val="99"/>
                <w:sz w:val="20"/>
              </w:rPr>
              <w:t>3</w:t>
            </w:r>
          </w:p>
        </w:tc>
        <w:tc>
          <w:tcPr>
            <w:tcW w:w="2605" w:type="dxa"/>
          </w:tcPr>
          <w:p>
            <w:pPr>
              <w:pStyle w:val="TableParagraph"/>
              <w:spacing w:before="51"/>
              <w:ind w:left="985" w:right="570"/>
              <w:jc w:val="center"/>
              <w:rPr>
                <w:sz w:val="20"/>
              </w:rPr>
            </w:pPr>
            <w:r>
              <w:rPr>
                <w:sz w:val="20"/>
              </w:rPr>
              <w:t>投标有效期</w:t>
            </w:r>
          </w:p>
        </w:tc>
        <w:tc>
          <w:tcPr>
            <w:tcW w:w="2734" w:type="dxa"/>
          </w:tcPr>
          <w:p>
            <w:pPr>
              <w:pStyle w:val="TableParagraph"/>
              <w:rPr>
                <w:rFonts w:ascii="Times New Roman"/>
                <w:sz w:val="20"/>
              </w:rPr>
            </w:pPr>
          </w:p>
        </w:tc>
        <w:tc>
          <w:tcPr>
            <w:tcW w:w="1782" w:type="dxa"/>
          </w:tcPr>
          <w:p>
            <w:pPr>
              <w:pStyle w:val="TableParagraph"/>
              <w:rPr>
                <w:rFonts w:ascii="Times New Roman"/>
                <w:sz w:val="20"/>
              </w:rPr>
            </w:pPr>
          </w:p>
        </w:tc>
      </w:tr>
      <w:tr>
        <w:trPr>
          <w:trHeight w:val="821" w:hRule="atLeast"/>
        </w:trPr>
        <w:tc>
          <w:tcPr>
            <w:tcW w:w="1640" w:type="dxa"/>
          </w:tcPr>
          <w:p>
            <w:pPr>
              <w:pStyle w:val="TableParagraph"/>
              <w:spacing w:before="4"/>
              <w:rPr>
                <w:b/>
                <w:sz w:val="19"/>
              </w:rPr>
            </w:pPr>
          </w:p>
          <w:p>
            <w:pPr>
              <w:pStyle w:val="TableParagraph"/>
              <w:spacing w:before="1"/>
              <w:ind w:left="421"/>
              <w:jc w:val="center"/>
              <w:rPr>
                <w:rFonts w:ascii="Times New Roman"/>
                <w:sz w:val="20"/>
              </w:rPr>
            </w:pPr>
            <w:r>
              <w:rPr>
                <w:rFonts w:ascii="Times New Roman"/>
                <w:w w:val="99"/>
                <w:sz w:val="20"/>
              </w:rPr>
              <w:t>4</w:t>
            </w:r>
          </w:p>
        </w:tc>
        <w:tc>
          <w:tcPr>
            <w:tcW w:w="2605" w:type="dxa"/>
          </w:tcPr>
          <w:p>
            <w:pPr>
              <w:pStyle w:val="TableParagraph"/>
              <w:spacing w:before="12"/>
              <w:rPr>
                <w:b/>
                <w:sz w:val="17"/>
              </w:rPr>
            </w:pPr>
          </w:p>
          <w:p>
            <w:pPr>
              <w:pStyle w:val="TableParagraph"/>
              <w:ind w:left="985" w:right="570"/>
              <w:jc w:val="center"/>
              <w:rPr>
                <w:sz w:val="20"/>
              </w:rPr>
            </w:pPr>
            <w:r>
              <w:rPr>
                <w:sz w:val="20"/>
              </w:rPr>
              <w:t>委托人要求</w:t>
            </w:r>
          </w:p>
        </w:tc>
        <w:tc>
          <w:tcPr>
            <w:tcW w:w="2734" w:type="dxa"/>
          </w:tcPr>
          <w:p>
            <w:pPr>
              <w:pStyle w:val="TableParagraph"/>
              <w:spacing w:before="36"/>
              <w:ind w:left="2"/>
              <w:rPr>
                <w:sz w:val="20"/>
              </w:rPr>
            </w:pPr>
            <w:r>
              <w:rPr>
                <w:sz w:val="20"/>
              </w:rPr>
              <w:t>符合招标文件第五章“ 委托</w:t>
            </w:r>
          </w:p>
          <w:p>
            <w:pPr>
              <w:pStyle w:val="TableParagraph"/>
              <w:spacing w:before="130"/>
              <w:ind w:left="2"/>
              <w:rPr>
                <w:sz w:val="20"/>
              </w:rPr>
            </w:pPr>
            <w:r>
              <w:rPr>
                <w:sz w:val="20"/>
              </w:rPr>
              <w:t>人要求 ”内容规定。</w:t>
            </w:r>
          </w:p>
        </w:tc>
        <w:tc>
          <w:tcPr>
            <w:tcW w:w="1782" w:type="dxa"/>
          </w:tcPr>
          <w:p>
            <w:pPr>
              <w:pStyle w:val="TableParagraph"/>
              <w:rPr>
                <w:rFonts w:ascii="Times New Roman"/>
                <w:sz w:val="20"/>
              </w:rPr>
            </w:pPr>
          </w:p>
        </w:tc>
      </w:tr>
      <w:tr>
        <w:trPr>
          <w:trHeight w:val="465" w:hRule="atLeast"/>
        </w:trPr>
        <w:tc>
          <w:tcPr>
            <w:tcW w:w="1640" w:type="dxa"/>
          </w:tcPr>
          <w:p>
            <w:pPr>
              <w:pStyle w:val="TableParagraph"/>
              <w:spacing w:before="93"/>
              <w:ind w:left="808" w:right="362"/>
              <w:jc w:val="center"/>
              <w:rPr>
                <w:sz w:val="20"/>
              </w:rPr>
            </w:pPr>
            <w:r>
              <w:rPr>
                <w:sz w:val="20"/>
              </w:rPr>
              <w:t>……</w:t>
            </w:r>
          </w:p>
        </w:tc>
        <w:tc>
          <w:tcPr>
            <w:tcW w:w="2605" w:type="dxa"/>
          </w:tcPr>
          <w:p>
            <w:pPr>
              <w:pStyle w:val="TableParagraph"/>
              <w:spacing w:before="93"/>
              <w:ind w:left="987" w:right="543"/>
              <w:jc w:val="center"/>
              <w:rPr>
                <w:sz w:val="20"/>
              </w:rPr>
            </w:pPr>
            <w:r>
              <w:rPr>
                <w:sz w:val="20"/>
              </w:rPr>
              <w:t>……</w:t>
            </w:r>
          </w:p>
        </w:tc>
        <w:tc>
          <w:tcPr>
            <w:tcW w:w="2734" w:type="dxa"/>
          </w:tcPr>
          <w:p>
            <w:pPr>
              <w:pStyle w:val="TableParagraph"/>
              <w:spacing w:before="93"/>
              <w:ind w:left="1368" w:right="920"/>
              <w:jc w:val="center"/>
              <w:rPr>
                <w:sz w:val="20"/>
              </w:rPr>
            </w:pPr>
            <w:r>
              <w:rPr>
                <w:sz w:val="20"/>
              </w:rPr>
              <w:t>……</w:t>
            </w:r>
          </w:p>
        </w:tc>
        <w:tc>
          <w:tcPr>
            <w:tcW w:w="1782" w:type="dxa"/>
          </w:tcPr>
          <w:p>
            <w:pPr>
              <w:pStyle w:val="TableParagraph"/>
              <w:rPr>
                <w:rFonts w:ascii="Times New Roman"/>
                <w:sz w:val="20"/>
              </w:rPr>
            </w:pPr>
          </w:p>
        </w:tc>
      </w:tr>
      <w:tr>
        <w:trPr>
          <w:trHeight w:val="484" w:hRule="atLeast"/>
        </w:trPr>
        <w:tc>
          <w:tcPr>
            <w:tcW w:w="1640" w:type="dxa"/>
          </w:tcPr>
          <w:p>
            <w:pPr>
              <w:pStyle w:val="TableParagraph"/>
              <w:spacing w:before="99"/>
              <w:ind w:left="808" w:right="362"/>
              <w:jc w:val="center"/>
              <w:rPr>
                <w:sz w:val="20"/>
              </w:rPr>
            </w:pPr>
            <w:r>
              <w:rPr>
                <w:sz w:val="20"/>
              </w:rPr>
              <w:t>……</w:t>
            </w:r>
          </w:p>
        </w:tc>
        <w:tc>
          <w:tcPr>
            <w:tcW w:w="2605" w:type="dxa"/>
          </w:tcPr>
          <w:p>
            <w:pPr>
              <w:pStyle w:val="TableParagraph"/>
              <w:spacing w:before="99"/>
              <w:ind w:left="987" w:right="543"/>
              <w:jc w:val="center"/>
              <w:rPr>
                <w:sz w:val="20"/>
              </w:rPr>
            </w:pPr>
            <w:r>
              <w:rPr>
                <w:sz w:val="20"/>
              </w:rPr>
              <w:t>……</w:t>
            </w:r>
          </w:p>
        </w:tc>
        <w:tc>
          <w:tcPr>
            <w:tcW w:w="2734" w:type="dxa"/>
          </w:tcPr>
          <w:p>
            <w:pPr>
              <w:pStyle w:val="TableParagraph"/>
              <w:spacing w:before="99"/>
              <w:ind w:left="1368" w:right="920"/>
              <w:jc w:val="center"/>
              <w:rPr>
                <w:sz w:val="20"/>
              </w:rPr>
            </w:pPr>
            <w:r>
              <w:rPr>
                <w:sz w:val="20"/>
              </w:rPr>
              <w:t>……</w:t>
            </w:r>
          </w:p>
        </w:tc>
        <w:tc>
          <w:tcPr>
            <w:tcW w:w="1782" w:type="dxa"/>
          </w:tcPr>
          <w:p>
            <w:pPr>
              <w:pStyle w:val="TableParagraph"/>
              <w:rPr>
                <w:rFonts w:ascii="Times New Roman"/>
                <w:sz w:val="20"/>
              </w:rPr>
            </w:pPr>
          </w:p>
        </w:tc>
      </w:tr>
    </w:tbl>
    <w:p>
      <w:pPr>
        <w:pStyle w:val="BodyText"/>
        <w:rPr>
          <w:b/>
          <w:sz w:val="28"/>
        </w:rPr>
      </w:pPr>
    </w:p>
    <w:p>
      <w:pPr>
        <w:pStyle w:val="BodyText"/>
        <w:rPr>
          <w:b/>
          <w:sz w:val="28"/>
        </w:rPr>
      </w:pPr>
    </w:p>
    <w:p>
      <w:pPr>
        <w:pStyle w:val="BodyText"/>
        <w:tabs>
          <w:tab w:pos="6487" w:val="left" w:leader="none"/>
          <w:tab w:pos="7332" w:val="left" w:leader="none"/>
        </w:tabs>
        <w:spacing w:line="607" w:lineRule="auto" w:before="213"/>
        <w:ind w:left="3142" w:right="1549"/>
      </w:pPr>
      <w:r>
        <w:rPr/>
        <w:t>投 标</w:t>
      </w:r>
      <w:r>
        <w:rPr>
          <w:spacing w:val="-73"/>
        </w:rPr>
        <w:t> </w:t>
      </w:r>
      <w:r>
        <w:rPr>
          <w:spacing w:val="5"/>
        </w:rPr>
        <w:t>人</w:t>
      </w:r>
      <w:r>
        <w:rPr>
          <w:spacing w:val="-8"/>
        </w:rPr>
        <w:t>：</w:t>
      </w:r>
      <w:r>
        <w:rPr>
          <w:spacing w:val="-8"/>
          <w:u w:val="single"/>
        </w:rPr>
        <w:t> </w:t>
        <w:tab/>
        <w:tab/>
      </w:r>
      <w:r>
        <w:rPr>
          <w:spacing w:val="-5"/>
        </w:rPr>
        <w:t>（</w:t>
      </w:r>
      <w:r>
        <w:rPr>
          <w:spacing w:val="5"/>
        </w:rPr>
        <w:t>盖单</w:t>
      </w:r>
      <w:r>
        <w:rPr>
          <w:spacing w:val="7"/>
        </w:rPr>
        <w:t>位</w:t>
      </w:r>
      <w:r>
        <w:rPr>
          <w:spacing w:val="5"/>
        </w:rPr>
        <w:t>章</w:t>
      </w:r>
      <w:r>
        <w:rPr/>
        <w:t>） </w:t>
      </w:r>
      <w:r>
        <w:rPr>
          <w:spacing w:val="7"/>
        </w:rPr>
        <w:t>法定代表人或</w:t>
      </w:r>
      <w:r>
        <w:rPr>
          <w:spacing w:val="10"/>
        </w:rPr>
        <w:t>其</w:t>
      </w:r>
      <w:r>
        <w:rPr>
          <w:spacing w:val="7"/>
        </w:rPr>
        <w:t>委托代理人</w:t>
      </w:r>
      <w:r>
        <w:rPr/>
        <w:t>：</w:t>
      </w:r>
      <w:r>
        <w:rPr>
          <w:u w:val="single"/>
        </w:rPr>
        <w:t> </w:t>
        <w:tab/>
      </w:r>
      <w:r>
        <w:rPr/>
        <w:t>（</w:t>
      </w:r>
      <w:r>
        <w:rPr>
          <w:spacing w:val="7"/>
        </w:rPr>
        <w:t>签字</w:t>
      </w:r>
      <w:r>
        <w:rPr/>
        <w:t>）</w:t>
      </w:r>
    </w:p>
    <w:p>
      <w:pPr>
        <w:pStyle w:val="BodyText"/>
        <w:tabs>
          <w:tab w:pos="7798" w:val="left" w:leader="none"/>
          <w:tab w:pos="8670" w:val="left" w:leader="none"/>
        </w:tabs>
        <w:spacing w:before="21"/>
        <w:ind w:left="6732"/>
      </w:pPr>
      <w:r>
        <w:rPr>
          <w:rFonts w:ascii="Times New Roman" w:eastAsia="Times New Roman"/>
          <w:w w:val="99"/>
          <w:u w:val="single"/>
        </w:rPr>
        <w:t> </w:t>
      </w:r>
      <w:r>
        <w:rPr>
          <w:rFonts w:ascii="Times New Roman" w:eastAsia="Times New Roman"/>
          <w:u w:val="single"/>
        </w:rPr>
        <w:t>  </w:t>
      </w:r>
      <w:r>
        <w:rPr>
          <w:rFonts w:ascii="Times New Roman" w:eastAsia="Times New Roman"/>
          <w:spacing w:val="23"/>
          <w:u w:val="single"/>
        </w:rPr>
        <w:t> </w:t>
      </w:r>
      <w:r>
        <w:rPr/>
        <w:t>年</w:t>
      </w:r>
      <w:r>
        <w:rPr>
          <w:u w:val="single"/>
        </w:rPr>
        <w:t> </w:t>
        <w:tab/>
      </w:r>
      <w:r>
        <w:rPr/>
        <w:t>月</w:t>
      </w:r>
      <w:r>
        <w:rPr>
          <w:u w:val="single"/>
        </w:rPr>
        <w:t> </w:t>
        <w:tab/>
      </w:r>
      <w:r>
        <w:rPr/>
        <w:t>日</w:t>
      </w:r>
    </w:p>
    <w:p>
      <w:pPr>
        <w:spacing w:after="0"/>
        <w:sectPr>
          <w:pgSz w:w="11910" w:h="16840"/>
          <w:pgMar w:header="0" w:footer="770" w:top="1540" w:bottom="960" w:left="1300" w:right="500"/>
        </w:sectPr>
      </w:pPr>
    </w:p>
    <w:p>
      <w:pPr>
        <w:pStyle w:val="Heading3"/>
        <w:spacing w:line="566" w:lineRule="exact"/>
        <w:ind w:right="1161"/>
        <w:jc w:val="center"/>
        <w:rPr>
          <w:rFonts w:ascii="Microsoft JhengHei" w:eastAsia="Microsoft JhengHei" w:hint="eastAsia"/>
        </w:rPr>
      </w:pPr>
      <w:r>
        <w:rPr>
          <w:rFonts w:ascii="Microsoft JhengHei" w:eastAsia="Microsoft JhengHei" w:hint="eastAsia"/>
        </w:rPr>
        <w:t>二、法定代表人身份证明或授权委托书</w:t>
      </w:r>
    </w:p>
    <w:p>
      <w:pPr>
        <w:pStyle w:val="Heading3"/>
        <w:spacing w:before="94"/>
        <w:ind w:right="1159"/>
        <w:jc w:val="center"/>
        <w:rPr>
          <w:rFonts w:ascii="Microsoft JhengHei" w:eastAsia="Microsoft JhengHei" w:hint="eastAsia"/>
        </w:rPr>
      </w:pPr>
      <w:r>
        <w:rPr/>
        <w:t>（一）</w:t>
      </w:r>
      <w:r>
        <w:rPr>
          <w:rFonts w:ascii="Microsoft JhengHei" w:eastAsia="Microsoft JhengHei" w:hint="eastAsia"/>
        </w:rPr>
        <w:t>法定代表人身份证明</w:t>
      </w:r>
    </w:p>
    <w:p>
      <w:pPr>
        <w:pStyle w:val="BodyText"/>
        <w:spacing w:before="10"/>
        <w:rPr>
          <w:rFonts w:ascii="Microsoft JhengHei"/>
          <w:b/>
          <w:sz w:val="30"/>
        </w:rPr>
      </w:pPr>
    </w:p>
    <w:p>
      <w:pPr>
        <w:pStyle w:val="BodyText"/>
        <w:tabs>
          <w:tab w:pos="3964" w:val="left" w:leader="none"/>
        </w:tabs>
        <w:ind w:left="368"/>
        <w:rPr>
          <w:rFonts w:ascii="Times New Roman" w:eastAsia="Times New Roman"/>
        </w:rPr>
      </w:pPr>
      <w:r>
        <w:rPr>
          <w:spacing w:val="7"/>
          <w:w w:val="95"/>
        </w:rPr>
        <w:t>投</w:t>
      </w:r>
      <w:r>
        <w:rPr>
          <w:spacing w:val="5"/>
          <w:w w:val="95"/>
        </w:rPr>
        <w:t>标</w:t>
      </w:r>
      <w:r>
        <w:rPr>
          <w:spacing w:val="7"/>
          <w:w w:val="95"/>
        </w:rPr>
        <w:t>人名</w:t>
      </w:r>
      <w:r>
        <w:rPr>
          <w:spacing w:val="5"/>
          <w:w w:val="95"/>
        </w:rPr>
        <w:t>称</w:t>
      </w:r>
      <w:r>
        <w:rPr>
          <w:spacing w:val="7"/>
          <w:w w:val="95"/>
        </w:rPr>
        <w:t>：</w:t>
      </w:r>
      <w:r>
        <w:rPr>
          <w:rFonts w:ascii="Times New Roman" w:eastAsia="Times New Roman"/>
          <w:w w:val="95"/>
          <w:u w:val="single"/>
        </w:rPr>
        <w:t> </w:t>
      </w:r>
      <w:r>
        <w:rPr>
          <w:rFonts w:ascii="Times New Roman" w:eastAsia="Times New Roman"/>
          <w:u w:val="single"/>
        </w:rPr>
        <w:tab/>
      </w:r>
    </w:p>
    <w:p>
      <w:pPr>
        <w:pStyle w:val="BodyText"/>
        <w:spacing w:before="11"/>
        <w:rPr>
          <w:rFonts w:ascii="Times New Roman"/>
          <w:sz w:val="21"/>
        </w:rPr>
      </w:pPr>
    </w:p>
    <w:p>
      <w:pPr>
        <w:pStyle w:val="BodyText"/>
        <w:tabs>
          <w:tab w:pos="2232" w:val="left" w:leader="none"/>
          <w:tab w:pos="3672" w:val="left" w:leader="none"/>
          <w:tab w:pos="5115" w:val="left" w:leader="none"/>
          <w:tab w:pos="6906" w:val="left" w:leader="none"/>
        </w:tabs>
        <w:spacing w:before="77"/>
        <w:ind w:left="365"/>
        <w:rPr>
          <w:rFonts w:ascii="Times New Roman" w:eastAsia="Times New Roman"/>
        </w:rPr>
      </w:pPr>
      <w:r>
        <w:rPr>
          <w:spacing w:val="5"/>
        </w:rPr>
        <w:t>姓</w:t>
      </w:r>
      <w:r>
        <w:rPr/>
        <w:t>名：</w:t>
      </w:r>
      <w:r>
        <w:rPr>
          <w:u w:val="single"/>
        </w:rPr>
        <w:t> </w:t>
        <w:tab/>
      </w:r>
      <w:r>
        <w:rPr>
          <w:spacing w:val="5"/>
        </w:rPr>
        <w:t>性</w:t>
      </w:r>
      <w:r>
        <w:rPr/>
        <w:t>别：</w:t>
      </w:r>
      <w:r>
        <w:rPr>
          <w:u w:val="single"/>
        </w:rPr>
        <w:t> </w:t>
        <w:tab/>
      </w:r>
      <w:r>
        <w:rPr>
          <w:spacing w:val="5"/>
        </w:rPr>
        <w:t>年</w:t>
      </w:r>
      <w:r>
        <w:rPr/>
        <w:t>龄</w:t>
      </w:r>
      <w:r>
        <w:rPr>
          <w:spacing w:val="2"/>
        </w:rPr>
        <w:t>：</w:t>
      </w:r>
      <w:r>
        <w:rPr>
          <w:spacing w:val="2"/>
          <w:u w:val="single"/>
        </w:rPr>
        <w:t> </w:t>
        <w:tab/>
      </w:r>
      <w:r>
        <w:rPr>
          <w:spacing w:val="5"/>
          <w:w w:val="95"/>
        </w:rPr>
        <w:t>职</w:t>
      </w:r>
      <w:r>
        <w:rPr>
          <w:w w:val="95"/>
        </w:rPr>
        <w:t>务</w:t>
      </w:r>
      <w:r>
        <w:rPr>
          <w:spacing w:val="2"/>
          <w:w w:val="95"/>
        </w:rPr>
        <w:t>：</w:t>
      </w:r>
      <w:r>
        <w:rPr>
          <w:rFonts w:ascii="Times New Roman" w:eastAsia="Times New Roman"/>
          <w:w w:val="95"/>
          <w:u w:val="single"/>
        </w:rPr>
        <w:t> </w:t>
      </w:r>
      <w:r>
        <w:rPr>
          <w:rFonts w:ascii="Times New Roman" w:eastAsia="Times New Roman"/>
          <w:u w:val="single"/>
        </w:rPr>
        <w:tab/>
      </w:r>
    </w:p>
    <w:p>
      <w:pPr>
        <w:pStyle w:val="BodyText"/>
        <w:rPr>
          <w:rFonts w:ascii="Times New Roman"/>
        </w:rPr>
      </w:pPr>
    </w:p>
    <w:p>
      <w:pPr>
        <w:pStyle w:val="BodyText"/>
        <w:spacing w:before="3"/>
        <w:rPr>
          <w:rFonts w:ascii="Times New Roman"/>
          <w:sz w:val="24"/>
        </w:rPr>
      </w:pPr>
    </w:p>
    <w:p>
      <w:pPr>
        <w:pStyle w:val="BodyText"/>
        <w:tabs>
          <w:tab w:pos="787" w:val="left" w:leader="none"/>
          <w:tab w:pos="1867" w:val="left" w:leader="none"/>
        </w:tabs>
        <w:spacing w:before="77"/>
        <w:ind w:left="365"/>
      </w:pPr>
      <w:r>
        <w:rPr/>
        <w:t>系</w:t>
        <w:tab/>
      </w:r>
      <w:r>
        <w:rPr>
          <w:u w:val="single"/>
        </w:rPr>
        <w:t> </w:t>
        <w:tab/>
      </w:r>
      <w:r>
        <w:rPr>
          <w:spacing w:val="7"/>
        </w:rPr>
        <w:t>（</w:t>
      </w:r>
      <w:r>
        <w:rPr>
          <w:spacing w:val="5"/>
        </w:rPr>
        <w:t>投</w:t>
      </w:r>
      <w:r>
        <w:rPr>
          <w:spacing w:val="7"/>
        </w:rPr>
        <w:t>标人</w:t>
      </w:r>
      <w:r>
        <w:rPr>
          <w:spacing w:val="5"/>
        </w:rPr>
        <w:t>名</w:t>
      </w:r>
      <w:r>
        <w:rPr>
          <w:spacing w:val="7"/>
        </w:rPr>
        <w:t>称</w:t>
      </w:r>
      <w:r>
        <w:rPr/>
        <w:t>）</w:t>
      </w:r>
      <w:r>
        <w:rPr>
          <w:spacing w:val="15"/>
        </w:rPr>
        <w:t> </w:t>
      </w:r>
      <w:r>
        <w:rPr>
          <w:spacing w:val="7"/>
        </w:rPr>
        <w:t>的</w:t>
      </w:r>
      <w:r>
        <w:rPr>
          <w:spacing w:val="5"/>
        </w:rPr>
        <w:t>法</w:t>
      </w:r>
      <w:r>
        <w:rPr>
          <w:spacing w:val="7"/>
        </w:rPr>
        <w:t>定代</w:t>
      </w:r>
      <w:r>
        <w:rPr>
          <w:spacing w:val="5"/>
        </w:rPr>
        <w:t>表</w:t>
      </w:r>
      <w:r>
        <w:rPr>
          <w:spacing w:val="7"/>
        </w:rPr>
        <w:t>人。</w:t>
      </w:r>
      <w:r>
        <w:rPr>
          <w:spacing w:val="5"/>
        </w:rPr>
        <w:t>特</w:t>
      </w:r>
      <w:r>
        <w:rPr>
          <w:spacing w:val="7"/>
        </w:rPr>
        <w:t>此证</w:t>
      </w:r>
      <w:r>
        <w:rPr>
          <w:spacing w:val="5"/>
        </w:rPr>
        <w:t>明</w:t>
      </w:r>
      <w:r>
        <w:rPr/>
        <w:t>。</w:t>
      </w:r>
    </w:p>
    <w:p>
      <w:pPr>
        <w:pStyle w:val="BodyText"/>
        <w:rPr>
          <w:sz w:val="22"/>
        </w:rPr>
      </w:pPr>
    </w:p>
    <w:p>
      <w:pPr>
        <w:pStyle w:val="BodyText"/>
        <w:rPr>
          <w:sz w:val="22"/>
        </w:rPr>
      </w:pPr>
    </w:p>
    <w:p>
      <w:pPr>
        <w:pStyle w:val="BodyText"/>
        <w:spacing w:before="9"/>
        <w:rPr>
          <w:sz w:val="25"/>
        </w:rPr>
      </w:pPr>
    </w:p>
    <w:p>
      <w:pPr>
        <w:pStyle w:val="BodyText"/>
        <w:spacing w:before="1"/>
        <w:ind w:left="380"/>
      </w:pPr>
      <w:r>
        <w:rPr/>
        <w:t>附：法定代表人身份证扫描件。</w:t>
      </w:r>
    </w:p>
    <w:p>
      <w:pPr>
        <w:pStyle w:val="BodyText"/>
      </w:pPr>
    </w:p>
    <w:p>
      <w:pPr>
        <w:pStyle w:val="BodyText"/>
      </w:pPr>
    </w:p>
    <w:p>
      <w:pPr>
        <w:pStyle w:val="BodyText"/>
      </w:pPr>
    </w:p>
    <w:p>
      <w:pPr>
        <w:pStyle w:val="BodyText"/>
      </w:pPr>
    </w:p>
    <w:p>
      <w:pPr>
        <w:pStyle w:val="BodyText"/>
        <w:spacing w:before="2"/>
        <w:rPr>
          <w:sz w:val="27"/>
        </w:rPr>
      </w:pPr>
    </w:p>
    <w:p>
      <w:pPr>
        <w:pStyle w:val="BodyText"/>
        <w:ind w:left="365"/>
      </w:pPr>
      <w:r>
        <w:rPr/>
        <w:t>注：本身份证明需由投标人加盖单位公章。</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14"/>
        </w:rPr>
      </w:pPr>
    </w:p>
    <w:p>
      <w:pPr>
        <w:pStyle w:val="BodyText"/>
        <w:tabs>
          <w:tab w:pos="6355" w:val="left" w:leader="none"/>
        </w:tabs>
        <w:ind w:left="4476"/>
      </w:pPr>
      <w:r>
        <w:rPr>
          <w:spacing w:val="7"/>
        </w:rPr>
        <w:t>投</w:t>
      </w:r>
      <w:r>
        <w:rPr>
          <w:spacing w:val="10"/>
        </w:rPr>
        <w:t>标人</w:t>
      </w:r>
      <w:r>
        <w:rPr>
          <w:spacing w:val="-3"/>
        </w:rPr>
        <w:t>：</w:t>
      </w:r>
      <w:r>
        <w:rPr>
          <w:spacing w:val="-3"/>
          <w:u w:val="single"/>
        </w:rPr>
        <w:t> </w:t>
        <w:tab/>
      </w:r>
      <w:r>
        <w:rPr>
          <w:spacing w:val="-3"/>
        </w:rPr>
        <w:t>（</w:t>
      </w:r>
      <w:r>
        <w:rPr>
          <w:spacing w:val="7"/>
        </w:rPr>
        <w:t>盖</w:t>
      </w:r>
      <w:r>
        <w:rPr>
          <w:spacing w:val="10"/>
        </w:rPr>
        <w:t>单</w:t>
      </w:r>
      <w:r>
        <w:rPr>
          <w:spacing w:val="7"/>
        </w:rPr>
        <w:t>位</w:t>
      </w:r>
      <w:r>
        <w:rPr>
          <w:spacing w:val="10"/>
        </w:rPr>
        <w:t>章</w:t>
      </w:r>
      <w:r>
        <w:rPr/>
        <w:t>）</w:t>
      </w:r>
    </w:p>
    <w:p>
      <w:pPr>
        <w:pStyle w:val="BodyText"/>
      </w:pPr>
    </w:p>
    <w:p>
      <w:pPr>
        <w:pStyle w:val="BodyText"/>
      </w:pPr>
    </w:p>
    <w:p>
      <w:pPr>
        <w:pStyle w:val="BodyText"/>
      </w:pPr>
    </w:p>
    <w:p>
      <w:pPr>
        <w:pStyle w:val="BodyText"/>
      </w:pPr>
    </w:p>
    <w:p>
      <w:pPr>
        <w:pStyle w:val="BodyText"/>
        <w:spacing w:before="7"/>
        <w:rPr>
          <w:sz w:val="14"/>
        </w:rPr>
      </w:pPr>
    </w:p>
    <w:p>
      <w:pPr>
        <w:pStyle w:val="BodyText"/>
        <w:tabs>
          <w:tab w:pos="6627" w:val="left" w:leader="none"/>
          <w:tab w:pos="7469" w:val="left" w:leader="none"/>
          <w:tab w:pos="8341" w:val="left" w:leader="none"/>
        </w:tabs>
        <w:spacing w:before="71"/>
        <w:ind w:left="6173"/>
      </w:pPr>
      <w:r>
        <w:rPr>
          <w:rFonts w:ascii="Times New Roman" w:eastAsia="Times New Roman"/>
          <w:w w:val="99"/>
          <w:u w:val="single"/>
        </w:rPr>
        <w:t> </w:t>
      </w:r>
      <w:r>
        <w:rPr>
          <w:rFonts w:ascii="Times New Roman" w:eastAsia="Times New Roman"/>
          <w:u w:val="single"/>
        </w:rPr>
        <w:tab/>
      </w:r>
      <w:r>
        <w:rPr/>
        <w:t>年</w:t>
      </w:r>
      <w:r>
        <w:rPr>
          <w:u w:val="single"/>
        </w:rPr>
        <w:t> </w:t>
        <w:tab/>
      </w:r>
      <w:r>
        <w:rPr/>
        <w:t>月</w:t>
      </w:r>
      <w:r>
        <w:rPr>
          <w:u w:val="single"/>
        </w:rPr>
        <w:t> </w:t>
        <w:tab/>
      </w:r>
      <w:r>
        <w:rPr/>
        <w:t>日</w:t>
      </w:r>
    </w:p>
    <w:p>
      <w:pPr>
        <w:spacing w:after="0"/>
        <w:sectPr>
          <w:pgSz w:w="11910" w:h="16840"/>
          <w:pgMar w:header="0" w:footer="770" w:top="1540" w:bottom="960" w:left="1300" w:right="500"/>
        </w:sectPr>
      </w:pPr>
    </w:p>
    <w:p>
      <w:pPr>
        <w:pStyle w:val="Heading3"/>
        <w:spacing w:line="566" w:lineRule="exact"/>
        <w:ind w:left="3228"/>
        <w:rPr>
          <w:rFonts w:ascii="Microsoft JhengHei" w:eastAsia="Microsoft JhengHei" w:hint="eastAsia"/>
        </w:rPr>
      </w:pPr>
      <w:r>
        <w:rPr/>
        <w:t>（二）</w:t>
      </w:r>
      <w:r>
        <w:rPr>
          <w:rFonts w:ascii="Microsoft JhengHei" w:eastAsia="Microsoft JhengHei" w:hint="eastAsia"/>
        </w:rPr>
        <w:t>、授权委托书</w:t>
      </w:r>
    </w:p>
    <w:p>
      <w:pPr>
        <w:pStyle w:val="BodyText"/>
        <w:spacing w:before="17"/>
        <w:rPr>
          <w:rFonts w:ascii="Microsoft JhengHei"/>
          <w:b/>
          <w:sz w:val="36"/>
        </w:rPr>
      </w:pPr>
    </w:p>
    <w:p>
      <w:pPr>
        <w:pStyle w:val="BodyText"/>
        <w:tabs>
          <w:tab w:pos="1743" w:val="left" w:leader="none"/>
          <w:tab w:pos="3456" w:val="left" w:leader="none"/>
          <w:tab w:pos="7781" w:val="left" w:leader="none"/>
          <w:tab w:pos="7899" w:val="left" w:leader="none"/>
        </w:tabs>
        <w:spacing w:line="403" w:lineRule="auto"/>
        <w:ind w:left="115" w:right="916" w:firstLine="420"/>
      </w:pPr>
      <w:r>
        <w:rPr/>
        <w:t>本人</w:t>
      </w:r>
      <w:r>
        <w:rPr>
          <w:u w:val="single"/>
        </w:rPr>
        <w:t> </w:t>
        <w:tab/>
      </w:r>
      <w:r>
        <w:rPr/>
        <w:t>（姓名）系</w:t>
      </w:r>
      <w:r>
        <w:rPr>
          <w:u w:val="single"/>
        </w:rPr>
        <w:t> </w:t>
        <w:tab/>
      </w:r>
      <w:r>
        <w:rPr/>
        <w:t>（投标人名称）的法定代表人，现委托</w:t>
      </w:r>
      <w:r>
        <w:rPr>
          <w:u w:val="single"/>
        </w:rPr>
        <w:t> </w:t>
        <w:tab/>
      </w:r>
      <w:r>
        <w:rPr/>
        <w:t>（姓名</w:t>
      </w:r>
      <w:r>
        <w:rPr>
          <w:spacing w:val="2"/>
        </w:rPr>
        <w:t> </w:t>
      </w:r>
      <w:r>
        <w:rPr/>
        <w:t>)为我方</w:t>
      </w:r>
      <w:r>
        <w:rPr>
          <w:spacing w:val="17"/>
        </w:rPr>
        <w:t>代理</w:t>
      </w:r>
      <w:r>
        <w:rPr>
          <w:spacing w:val="15"/>
        </w:rPr>
        <w:t>人</w:t>
      </w:r>
      <w:r>
        <w:rPr>
          <w:spacing w:val="17"/>
        </w:rPr>
        <w:t>。代理人根</w:t>
      </w:r>
      <w:r>
        <w:rPr>
          <w:spacing w:val="15"/>
        </w:rPr>
        <w:t>据</w:t>
      </w:r>
      <w:r>
        <w:rPr>
          <w:spacing w:val="17"/>
        </w:rPr>
        <w:t>授权</w:t>
      </w:r>
      <w:r>
        <w:rPr/>
        <w:t>，</w:t>
      </w:r>
      <w:r>
        <w:rPr>
          <w:spacing w:val="-82"/>
        </w:rPr>
        <w:t> </w:t>
      </w:r>
      <w:r>
        <w:rPr>
          <w:spacing w:val="17"/>
        </w:rPr>
        <w:t>以</w:t>
      </w:r>
      <w:r>
        <w:rPr>
          <w:spacing w:val="15"/>
        </w:rPr>
        <w:t>我</w:t>
      </w:r>
      <w:r>
        <w:rPr>
          <w:spacing w:val="17"/>
        </w:rPr>
        <w:t>方名义签</w:t>
      </w:r>
      <w:r>
        <w:rPr>
          <w:spacing w:val="15"/>
        </w:rPr>
        <w:t>署</w:t>
      </w:r>
      <w:r>
        <w:rPr>
          <w:spacing w:val="17"/>
        </w:rPr>
        <w:t>、澄清确认</w:t>
      </w:r>
      <w:r>
        <w:rPr>
          <w:spacing w:val="15"/>
        </w:rPr>
        <w:t>、</w:t>
      </w:r>
      <w:r>
        <w:rPr>
          <w:spacing w:val="17"/>
        </w:rPr>
        <w:t>递交、撤</w:t>
      </w:r>
      <w:r>
        <w:rPr>
          <w:spacing w:val="15"/>
        </w:rPr>
        <w:t>回</w:t>
      </w:r>
      <w:r>
        <w:rPr>
          <w:spacing w:val="17"/>
        </w:rPr>
        <w:t>、修</w:t>
      </w:r>
      <w:r>
        <w:rPr/>
        <w:t>改</w:t>
      </w:r>
      <w:r>
        <w:rPr>
          <w:u w:val="single"/>
        </w:rPr>
        <w:t> </w:t>
        <w:tab/>
        <w:tab/>
        <w:t>（</w:t>
      </w:r>
      <w:r>
        <w:rPr>
          <w:spacing w:val="-83"/>
        </w:rPr>
        <w:t> </w:t>
      </w:r>
      <w:r>
        <w:rPr>
          <w:spacing w:val="17"/>
          <w:u w:val="single"/>
        </w:rPr>
        <w:t>项</w:t>
      </w:r>
      <w:r>
        <w:rPr>
          <w:spacing w:val="15"/>
          <w:u w:val="single"/>
        </w:rPr>
        <w:t>目</w:t>
      </w:r>
      <w:r>
        <w:rPr>
          <w:spacing w:val="17"/>
          <w:u w:val="single"/>
        </w:rPr>
        <w:t>名称</w:t>
      </w:r>
      <w:r>
        <w:rPr>
          <w:u w:val="single"/>
        </w:rPr>
        <w:t>）</w:t>
      </w:r>
    </w:p>
    <w:p>
      <w:pPr>
        <w:pStyle w:val="BodyText"/>
        <w:tabs>
          <w:tab w:pos="3634" w:val="left" w:leader="none"/>
        </w:tabs>
        <w:spacing w:line="463" w:lineRule="auto"/>
        <w:ind w:left="535" w:right="3988" w:hanging="420"/>
      </w:pPr>
      <w:r>
        <w:rPr/>
        <w:t>项目投标文件、签订合同和处理有关事宜，其法律后果由我方承担。委托期限：</w:t>
      </w:r>
      <w:r>
        <w:rPr>
          <w:u w:val="single"/>
        </w:rPr>
        <w:t> </w:t>
        <w:tab/>
      </w:r>
      <w:r>
        <w:rPr/>
        <w:t>。</w:t>
      </w:r>
    </w:p>
    <w:p>
      <w:pPr>
        <w:pStyle w:val="BodyText"/>
        <w:spacing w:before="72"/>
        <w:ind w:left="516"/>
      </w:pPr>
      <w:r>
        <w:rPr/>
        <w:t>代理人无转委托权。</w:t>
      </w:r>
    </w:p>
    <w:p>
      <w:pPr>
        <w:pStyle w:val="BodyText"/>
      </w:pPr>
    </w:p>
    <w:p>
      <w:pPr>
        <w:pStyle w:val="BodyText"/>
      </w:pPr>
    </w:p>
    <w:p>
      <w:pPr>
        <w:pStyle w:val="BodyText"/>
        <w:spacing w:before="2"/>
        <w:rPr>
          <w:sz w:val="29"/>
        </w:rPr>
      </w:pPr>
    </w:p>
    <w:p>
      <w:pPr>
        <w:pStyle w:val="BodyText"/>
        <w:ind w:left="550"/>
      </w:pPr>
      <w:r>
        <w:rPr/>
        <w:t>附：法定代表人身份证扫描件及委托代理人身份证扫描件</w:t>
      </w:r>
    </w:p>
    <w:p>
      <w:pPr>
        <w:pStyle w:val="BodyText"/>
      </w:pPr>
    </w:p>
    <w:p>
      <w:pPr>
        <w:pStyle w:val="BodyText"/>
      </w:pPr>
    </w:p>
    <w:p>
      <w:pPr>
        <w:pStyle w:val="BodyText"/>
      </w:pPr>
    </w:p>
    <w:p>
      <w:pPr>
        <w:pStyle w:val="BodyText"/>
      </w:pPr>
    </w:p>
    <w:p>
      <w:pPr>
        <w:pStyle w:val="BodyText"/>
        <w:spacing w:before="9"/>
        <w:rPr>
          <w:sz w:val="19"/>
        </w:rPr>
      </w:pPr>
    </w:p>
    <w:p>
      <w:pPr>
        <w:pStyle w:val="BodyText"/>
        <w:ind w:left="533"/>
      </w:pPr>
      <w:r>
        <w:rPr/>
        <w:t>注：本授权委托书需由投标人加盖单位公章并由其法定代表人和委托代理人签字。</w:t>
      </w:r>
    </w:p>
    <w:p>
      <w:pPr>
        <w:pStyle w:val="BodyText"/>
      </w:pPr>
    </w:p>
    <w:p>
      <w:pPr>
        <w:pStyle w:val="BodyText"/>
      </w:pPr>
    </w:p>
    <w:p>
      <w:pPr>
        <w:pStyle w:val="BodyText"/>
        <w:spacing w:before="2"/>
        <w:rPr>
          <w:sz w:val="29"/>
        </w:rPr>
      </w:pPr>
    </w:p>
    <w:p>
      <w:pPr>
        <w:pStyle w:val="BodyText"/>
        <w:tabs>
          <w:tab w:pos="3617" w:val="left" w:leader="none"/>
          <w:tab w:pos="7116" w:val="left" w:leader="none"/>
        </w:tabs>
        <w:ind w:left="3216"/>
      </w:pPr>
      <w:r>
        <w:rPr/>
        <w:t>投</w:t>
        <w:tab/>
        <w:t>标</w:t>
      </w:r>
      <w:r>
        <w:rPr>
          <w:spacing w:val="-1"/>
        </w:rPr>
        <w:t> </w:t>
      </w:r>
      <w:r>
        <w:rPr/>
        <w:t>人：</w:t>
      </w:r>
      <w:r>
        <w:rPr>
          <w:u w:val="single"/>
        </w:rPr>
        <w:t> </w:t>
        <w:tab/>
      </w:r>
      <w:r>
        <w:rPr/>
        <w:t>（盖单位章）</w:t>
      </w:r>
    </w:p>
    <w:p>
      <w:pPr>
        <w:pStyle w:val="BodyText"/>
        <w:rPr>
          <w:sz w:val="22"/>
        </w:rPr>
      </w:pPr>
    </w:p>
    <w:p>
      <w:pPr>
        <w:pStyle w:val="BodyText"/>
        <w:rPr>
          <w:sz w:val="22"/>
        </w:rPr>
      </w:pPr>
    </w:p>
    <w:p>
      <w:pPr>
        <w:pStyle w:val="BodyText"/>
        <w:spacing w:before="3"/>
        <w:rPr>
          <w:sz w:val="30"/>
        </w:rPr>
      </w:pPr>
    </w:p>
    <w:p>
      <w:pPr>
        <w:pStyle w:val="BodyText"/>
        <w:tabs>
          <w:tab w:pos="6312" w:val="left" w:leader="none"/>
        </w:tabs>
        <w:ind w:left="3212"/>
      </w:pPr>
      <w:r>
        <w:rPr/>
        <w:t>法定代表人：</w:t>
      </w:r>
      <w:r>
        <w:rPr>
          <w:u w:val="single"/>
        </w:rPr>
        <w:t> </w:t>
        <w:tab/>
      </w:r>
      <w:r>
        <w:rPr/>
        <w:t>（签字或盖章）</w:t>
      </w:r>
    </w:p>
    <w:p>
      <w:pPr>
        <w:pStyle w:val="BodyText"/>
        <w:rPr>
          <w:sz w:val="22"/>
        </w:rPr>
      </w:pPr>
    </w:p>
    <w:p>
      <w:pPr>
        <w:pStyle w:val="BodyText"/>
        <w:rPr>
          <w:sz w:val="22"/>
        </w:rPr>
      </w:pPr>
    </w:p>
    <w:p>
      <w:pPr>
        <w:pStyle w:val="BodyText"/>
        <w:spacing w:before="3"/>
        <w:rPr>
          <w:sz w:val="30"/>
        </w:rPr>
      </w:pPr>
    </w:p>
    <w:p>
      <w:pPr>
        <w:pStyle w:val="BodyText"/>
        <w:tabs>
          <w:tab w:pos="8569" w:val="left" w:leader="none"/>
        </w:tabs>
        <w:ind w:left="3219"/>
        <w:rPr>
          <w:rFonts w:ascii="Times New Roman" w:eastAsia="Times New Roman"/>
        </w:rPr>
      </w:pPr>
      <w:r>
        <w:rPr>
          <w:w w:val="95"/>
        </w:rPr>
        <w:t>身份证号码：</w:t>
      </w:r>
      <w:r>
        <w:rPr>
          <w:rFonts w:ascii="Times New Roman" w:eastAsia="Times New Roman"/>
          <w:w w:val="95"/>
          <w:u w:val="single"/>
        </w:rPr>
        <w:t> </w:t>
      </w:r>
      <w:r>
        <w:rPr>
          <w:rFonts w:ascii="Times New Roman" w:eastAsia="Times New Roman"/>
          <w:u w:val="single"/>
        </w:rPr>
        <w:tab/>
      </w: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3"/>
        <w:rPr>
          <w:rFonts w:ascii="Times New Roman"/>
          <w:sz w:val="18"/>
        </w:rPr>
      </w:pPr>
    </w:p>
    <w:p>
      <w:pPr>
        <w:pStyle w:val="BodyText"/>
        <w:tabs>
          <w:tab w:pos="7654" w:val="left" w:leader="none"/>
        </w:tabs>
        <w:ind w:left="3214"/>
      </w:pPr>
      <w:r>
        <w:rPr>
          <w:spacing w:val="7"/>
        </w:rPr>
        <w:t>委托代理人</w:t>
      </w:r>
      <w:r>
        <w:rPr>
          <w:spacing w:val="-3"/>
        </w:rPr>
        <w:t>：</w:t>
      </w:r>
      <w:r>
        <w:rPr>
          <w:spacing w:val="-3"/>
          <w:u w:val="single"/>
        </w:rPr>
        <w:t> </w:t>
        <w:tab/>
      </w:r>
      <w:r>
        <w:rPr>
          <w:spacing w:val="-3"/>
        </w:rPr>
        <w:t>（</w:t>
      </w:r>
      <w:r>
        <w:rPr>
          <w:spacing w:val="7"/>
        </w:rPr>
        <w:t>签字或盖章</w:t>
      </w:r>
      <w:r>
        <w:rPr/>
        <w:t>）</w:t>
      </w:r>
    </w:p>
    <w:p>
      <w:pPr>
        <w:pStyle w:val="BodyText"/>
        <w:rPr>
          <w:sz w:val="22"/>
        </w:rPr>
      </w:pPr>
    </w:p>
    <w:p>
      <w:pPr>
        <w:pStyle w:val="BodyText"/>
        <w:rPr>
          <w:sz w:val="22"/>
        </w:rPr>
      </w:pPr>
    </w:p>
    <w:p>
      <w:pPr>
        <w:pStyle w:val="BodyText"/>
        <w:spacing w:before="5"/>
        <w:rPr>
          <w:sz w:val="30"/>
        </w:rPr>
      </w:pPr>
    </w:p>
    <w:p>
      <w:pPr>
        <w:pStyle w:val="BodyText"/>
        <w:tabs>
          <w:tab w:pos="8653" w:val="left" w:leader="none"/>
        </w:tabs>
        <w:spacing w:before="1"/>
        <w:ind w:left="3219"/>
        <w:rPr>
          <w:rFonts w:ascii="Times New Roman" w:eastAsia="Times New Roman"/>
        </w:rPr>
      </w:pPr>
      <w:r>
        <w:rPr/>
        <w:t>身份证</w:t>
      </w:r>
      <w:r>
        <w:rPr>
          <w:spacing w:val="5"/>
        </w:rPr>
        <w:t>号</w:t>
      </w:r>
      <w:r>
        <w:rPr/>
        <w:t>码：</w:t>
      </w:r>
      <w:r>
        <w:rPr>
          <w:rFonts w:ascii="Times New Roman" w:eastAsia="Times New Roman"/>
          <w:u w:val="single"/>
        </w:rPr>
        <w:t> </w:t>
        <w:tab/>
      </w:r>
    </w:p>
    <w:p>
      <w:pPr>
        <w:pStyle w:val="BodyText"/>
        <w:rPr>
          <w:rFonts w:ascii="Times New Roman"/>
        </w:rPr>
      </w:pPr>
    </w:p>
    <w:p>
      <w:pPr>
        <w:pStyle w:val="BodyText"/>
        <w:rPr>
          <w:rFonts w:ascii="Times New Roman"/>
        </w:rPr>
      </w:pPr>
    </w:p>
    <w:p>
      <w:pPr>
        <w:pStyle w:val="BodyText"/>
        <w:rPr>
          <w:rFonts w:ascii="Times New Roman"/>
          <w:sz w:val="18"/>
        </w:rPr>
      </w:pPr>
    </w:p>
    <w:p>
      <w:pPr>
        <w:pStyle w:val="BodyText"/>
        <w:tabs>
          <w:tab w:pos="6660" w:val="left" w:leader="none"/>
          <w:tab w:pos="7608" w:val="left" w:leader="none"/>
          <w:tab w:pos="8584" w:val="left" w:leader="none"/>
        </w:tabs>
        <w:ind w:left="6334"/>
      </w:pPr>
      <w:r>
        <w:rPr>
          <w:rFonts w:ascii="Times New Roman" w:eastAsia="Times New Roman"/>
          <w:w w:val="99"/>
          <w:u w:val="single"/>
        </w:rPr>
        <w:t> </w:t>
      </w:r>
      <w:r>
        <w:rPr>
          <w:rFonts w:ascii="Times New Roman" w:eastAsia="Times New Roman"/>
          <w:u w:val="single"/>
        </w:rPr>
        <w:tab/>
      </w:r>
      <w:r>
        <w:rPr/>
        <w:t>年</w:t>
      </w:r>
      <w:r>
        <w:rPr>
          <w:u w:val="single"/>
        </w:rPr>
        <w:t> </w:t>
        <w:tab/>
      </w:r>
      <w:r>
        <w:rPr/>
        <w:t>月</w:t>
      </w:r>
      <w:r>
        <w:rPr>
          <w:u w:val="single"/>
        </w:rPr>
        <w:t> </w:t>
        <w:tab/>
      </w:r>
      <w:r>
        <w:rPr/>
        <w:t>日</w:t>
      </w:r>
    </w:p>
    <w:p>
      <w:pPr>
        <w:spacing w:after="0"/>
        <w:sectPr>
          <w:pgSz w:w="11910" w:h="16840"/>
          <w:pgMar w:header="0" w:footer="770" w:top="1540" w:bottom="960" w:left="1300" w:right="500"/>
        </w:sectPr>
      </w:pPr>
    </w:p>
    <w:p>
      <w:pPr>
        <w:pStyle w:val="Heading3"/>
        <w:spacing w:line="564" w:lineRule="exact"/>
        <w:ind w:right="1158"/>
        <w:jc w:val="center"/>
        <w:rPr>
          <w:rFonts w:ascii="Microsoft JhengHei" w:eastAsia="Microsoft JhengHei" w:hint="eastAsia"/>
        </w:rPr>
      </w:pPr>
      <w:r>
        <w:rPr>
          <w:rFonts w:ascii="Microsoft JhengHei" w:eastAsia="Microsoft JhengHei" w:hint="eastAsia"/>
        </w:rPr>
        <w:t>三、分项报价表</w:t>
      </w:r>
    </w:p>
    <w:p>
      <w:pPr>
        <w:pStyle w:val="BodyText"/>
        <w:spacing w:before="14"/>
        <w:rPr>
          <w:rFonts w:ascii="Microsoft JhengHei"/>
          <w:b/>
          <w:sz w:val="7"/>
        </w:rPr>
      </w:pPr>
    </w:p>
    <w:p>
      <w:pPr>
        <w:pStyle w:val="BodyText"/>
        <w:tabs>
          <w:tab w:pos="3515" w:val="left" w:leader="none"/>
          <w:tab w:pos="3717" w:val="left" w:leader="none"/>
        </w:tabs>
        <w:spacing w:line="364" w:lineRule="auto" w:before="78"/>
        <w:ind w:left="115" w:right="6386"/>
        <w:rPr>
          <w:rFonts w:ascii="Times New Roman" w:eastAsia="Times New Roman"/>
        </w:rPr>
      </w:pPr>
      <w:r>
        <w:rPr>
          <w:w w:val="95"/>
        </w:rPr>
        <w:t>项目编号</w:t>
      </w:r>
      <w:r>
        <w:rPr>
          <w:spacing w:val="-10"/>
          <w:w w:val="95"/>
        </w:rPr>
        <w:t>：</w:t>
      </w:r>
      <w:r>
        <w:rPr>
          <w:spacing w:val="-10"/>
          <w:w w:val="95"/>
          <w:u w:val="single"/>
        </w:rPr>
        <w:tab/>
      </w:r>
      <w:r>
        <w:rPr>
          <w:w w:val="95"/>
        </w:rPr>
        <w:t>                         项目名称：</w:t>
      </w:r>
      <w:r>
        <w:rPr>
          <w:rFonts w:ascii="Times New Roman" w:eastAsia="Times New Roman"/>
          <w:w w:val="95"/>
          <w:u w:val="single"/>
        </w:rPr>
        <w:t> </w:t>
      </w:r>
      <w:r>
        <w:rPr>
          <w:rFonts w:ascii="Times New Roman" w:eastAsia="Times New Roman"/>
          <w:u w:val="single"/>
        </w:rPr>
        <w:tab/>
        <w:tab/>
      </w:r>
    </w:p>
    <w:p>
      <w:pPr>
        <w:pStyle w:val="BodyText"/>
        <w:spacing w:line="255" w:lineRule="exact"/>
        <w:ind w:left="5916"/>
      </w:pPr>
      <w:r>
        <w:rPr>
          <w:w w:val="95"/>
        </w:rPr>
        <w:t>报价单位：人民币元</w:t>
      </w:r>
    </w:p>
    <w:p>
      <w:pPr>
        <w:pStyle w:val="BodyText"/>
        <w:spacing w:before="3"/>
        <w:rPr>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1"/>
        <w:gridCol w:w="2937"/>
        <w:gridCol w:w="1347"/>
        <w:gridCol w:w="1206"/>
        <w:gridCol w:w="1345"/>
        <w:gridCol w:w="1708"/>
      </w:tblGrid>
      <w:tr>
        <w:trPr>
          <w:trHeight w:val="620" w:hRule="atLeast"/>
        </w:trPr>
        <w:tc>
          <w:tcPr>
            <w:tcW w:w="911" w:type="dxa"/>
          </w:tcPr>
          <w:p>
            <w:pPr>
              <w:pStyle w:val="TableParagraph"/>
              <w:spacing w:before="1"/>
              <w:rPr>
                <w:sz w:val="14"/>
              </w:rPr>
            </w:pPr>
          </w:p>
          <w:p>
            <w:pPr>
              <w:pStyle w:val="TableParagraph"/>
              <w:ind w:left="234" w:right="226"/>
              <w:jc w:val="center"/>
              <w:rPr>
                <w:sz w:val="20"/>
              </w:rPr>
            </w:pPr>
            <w:r>
              <w:rPr>
                <w:sz w:val="20"/>
              </w:rPr>
              <w:t>序号</w:t>
            </w:r>
          </w:p>
        </w:tc>
        <w:tc>
          <w:tcPr>
            <w:tcW w:w="2937" w:type="dxa"/>
          </w:tcPr>
          <w:p>
            <w:pPr>
              <w:pStyle w:val="TableParagraph"/>
              <w:spacing w:before="1"/>
              <w:rPr>
                <w:sz w:val="14"/>
              </w:rPr>
            </w:pPr>
          </w:p>
          <w:p>
            <w:pPr>
              <w:pStyle w:val="TableParagraph"/>
              <w:ind w:left="1047" w:right="1040"/>
              <w:jc w:val="center"/>
              <w:rPr>
                <w:sz w:val="20"/>
              </w:rPr>
            </w:pPr>
            <w:r>
              <w:rPr>
                <w:sz w:val="20"/>
              </w:rPr>
              <w:t>分项名称</w:t>
            </w:r>
          </w:p>
        </w:tc>
        <w:tc>
          <w:tcPr>
            <w:tcW w:w="1347" w:type="dxa"/>
          </w:tcPr>
          <w:p>
            <w:pPr>
              <w:pStyle w:val="TableParagraph"/>
              <w:spacing w:before="1"/>
              <w:rPr>
                <w:sz w:val="14"/>
              </w:rPr>
            </w:pPr>
          </w:p>
          <w:p>
            <w:pPr>
              <w:pStyle w:val="TableParagraph"/>
              <w:ind w:left="452" w:right="444"/>
              <w:jc w:val="center"/>
              <w:rPr>
                <w:sz w:val="20"/>
              </w:rPr>
            </w:pPr>
            <w:r>
              <w:rPr>
                <w:sz w:val="20"/>
              </w:rPr>
              <w:t>单位</w:t>
            </w:r>
          </w:p>
        </w:tc>
        <w:tc>
          <w:tcPr>
            <w:tcW w:w="1206" w:type="dxa"/>
          </w:tcPr>
          <w:p>
            <w:pPr>
              <w:pStyle w:val="TableParagraph"/>
              <w:spacing w:before="1"/>
              <w:rPr>
                <w:sz w:val="14"/>
              </w:rPr>
            </w:pPr>
          </w:p>
          <w:p>
            <w:pPr>
              <w:pStyle w:val="TableParagraph"/>
              <w:ind w:left="403"/>
              <w:rPr>
                <w:sz w:val="20"/>
              </w:rPr>
            </w:pPr>
            <w:r>
              <w:rPr>
                <w:sz w:val="20"/>
              </w:rPr>
              <w:t>数量</w:t>
            </w:r>
          </w:p>
        </w:tc>
        <w:tc>
          <w:tcPr>
            <w:tcW w:w="1345" w:type="dxa"/>
          </w:tcPr>
          <w:p>
            <w:pPr>
              <w:pStyle w:val="TableParagraph"/>
              <w:spacing w:before="1"/>
              <w:rPr>
                <w:sz w:val="14"/>
              </w:rPr>
            </w:pPr>
          </w:p>
          <w:p>
            <w:pPr>
              <w:pStyle w:val="TableParagraph"/>
              <w:ind w:left="70"/>
              <w:rPr>
                <w:sz w:val="20"/>
              </w:rPr>
            </w:pPr>
            <w:r>
              <w:rPr>
                <w:sz w:val="20"/>
              </w:rPr>
              <w:t>金额（含税）</w:t>
            </w:r>
          </w:p>
        </w:tc>
        <w:tc>
          <w:tcPr>
            <w:tcW w:w="1708" w:type="dxa"/>
          </w:tcPr>
          <w:p>
            <w:pPr>
              <w:pStyle w:val="TableParagraph"/>
              <w:spacing w:before="171"/>
              <w:ind w:left="408"/>
              <w:rPr>
                <w:sz w:val="20"/>
              </w:rPr>
            </w:pPr>
            <w:r>
              <w:rPr>
                <w:spacing w:val="-5"/>
                <w:sz w:val="20"/>
              </w:rPr>
              <w:t>备注</w:t>
            </w:r>
            <w:r>
              <w:rPr>
                <w:b/>
                <w:i/>
                <w:spacing w:val="-54"/>
                <w:sz w:val="21"/>
              </w:rPr>
              <w:t>/</w:t>
            </w:r>
            <w:r>
              <w:rPr>
                <w:spacing w:val="-3"/>
                <w:sz w:val="20"/>
              </w:rPr>
              <w:t>说明</w:t>
            </w:r>
          </w:p>
        </w:tc>
      </w:tr>
      <w:tr>
        <w:trPr>
          <w:trHeight w:val="508" w:hRule="atLeast"/>
        </w:trPr>
        <w:tc>
          <w:tcPr>
            <w:tcW w:w="911" w:type="dxa"/>
          </w:tcPr>
          <w:p>
            <w:pPr>
              <w:pStyle w:val="TableParagraph"/>
              <w:spacing w:before="1"/>
              <w:ind w:left="5"/>
              <w:jc w:val="center"/>
              <w:rPr>
                <w:sz w:val="20"/>
              </w:rPr>
            </w:pPr>
            <w:r>
              <w:rPr>
                <w:w w:val="111"/>
                <w:sz w:val="20"/>
              </w:rPr>
              <w:t>1</w:t>
            </w:r>
          </w:p>
        </w:tc>
        <w:tc>
          <w:tcPr>
            <w:tcW w:w="2937" w:type="dxa"/>
          </w:tcPr>
          <w:p>
            <w:pPr>
              <w:pStyle w:val="TableParagraph"/>
              <w:rPr>
                <w:rFonts w:ascii="Times New Roman"/>
                <w:sz w:val="20"/>
              </w:rPr>
            </w:pPr>
          </w:p>
        </w:tc>
        <w:tc>
          <w:tcPr>
            <w:tcW w:w="1347" w:type="dxa"/>
          </w:tcPr>
          <w:p>
            <w:pPr>
              <w:pStyle w:val="TableParagraph"/>
              <w:rPr>
                <w:rFonts w:ascii="Times New Roman"/>
                <w:sz w:val="20"/>
              </w:rPr>
            </w:pPr>
          </w:p>
        </w:tc>
        <w:tc>
          <w:tcPr>
            <w:tcW w:w="1206" w:type="dxa"/>
          </w:tcPr>
          <w:p>
            <w:pPr>
              <w:pStyle w:val="TableParagraph"/>
              <w:rPr>
                <w:rFonts w:ascii="Times New Roman"/>
                <w:sz w:val="20"/>
              </w:rPr>
            </w:pPr>
          </w:p>
        </w:tc>
        <w:tc>
          <w:tcPr>
            <w:tcW w:w="1345" w:type="dxa"/>
          </w:tcPr>
          <w:p>
            <w:pPr>
              <w:pStyle w:val="TableParagraph"/>
              <w:rPr>
                <w:rFonts w:ascii="Times New Roman"/>
                <w:sz w:val="20"/>
              </w:rPr>
            </w:pPr>
          </w:p>
        </w:tc>
        <w:tc>
          <w:tcPr>
            <w:tcW w:w="1708" w:type="dxa"/>
          </w:tcPr>
          <w:p>
            <w:pPr>
              <w:pStyle w:val="TableParagraph"/>
              <w:rPr>
                <w:rFonts w:ascii="Times New Roman"/>
                <w:sz w:val="20"/>
              </w:rPr>
            </w:pPr>
          </w:p>
        </w:tc>
      </w:tr>
      <w:tr>
        <w:trPr>
          <w:trHeight w:val="415" w:hRule="atLeast"/>
        </w:trPr>
        <w:tc>
          <w:tcPr>
            <w:tcW w:w="911" w:type="dxa"/>
          </w:tcPr>
          <w:p>
            <w:pPr>
              <w:pStyle w:val="TableParagraph"/>
              <w:spacing w:before="1"/>
              <w:ind w:left="5"/>
              <w:jc w:val="center"/>
              <w:rPr>
                <w:sz w:val="20"/>
              </w:rPr>
            </w:pPr>
            <w:r>
              <w:rPr>
                <w:w w:val="111"/>
                <w:sz w:val="20"/>
              </w:rPr>
              <w:t>2</w:t>
            </w:r>
          </w:p>
        </w:tc>
        <w:tc>
          <w:tcPr>
            <w:tcW w:w="2937" w:type="dxa"/>
          </w:tcPr>
          <w:p>
            <w:pPr>
              <w:pStyle w:val="TableParagraph"/>
              <w:rPr>
                <w:rFonts w:ascii="Times New Roman"/>
                <w:sz w:val="20"/>
              </w:rPr>
            </w:pPr>
          </w:p>
        </w:tc>
        <w:tc>
          <w:tcPr>
            <w:tcW w:w="1347" w:type="dxa"/>
          </w:tcPr>
          <w:p>
            <w:pPr>
              <w:pStyle w:val="TableParagraph"/>
              <w:rPr>
                <w:rFonts w:ascii="Times New Roman"/>
                <w:sz w:val="20"/>
              </w:rPr>
            </w:pPr>
          </w:p>
        </w:tc>
        <w:tc>
          <w:tcPr>
            <w:tcW w:w="1206" w:type="dxa"/>
          </w:tcPr>
          <w:p>
            <w:pPr>
              <w:pStyle w:val="TableParagraph"/>
              <w:rPr>
                <w:rFonts w:ascii="Times New Roman"/>
                <w:sz w:val="20"/>
              </w:rPr>
            </w:pPr>
          </w:p>
        </w:tc>
        <w:tc>
          <w:tcPr>
            <w:tcW w:w="1345" w:type="dxa"/>
          </w:tcPr>
          <w:p>
            <w:pPr>
              <w:pStyle w:val="TableParagraph"/>
              <w:rPr>
                <w:rFonts w:ascii="Times New Roman"/>
                <w:sz w:val="20"/>
              </w:rPr>
            </w:pPr>
          </w:p>
        </w:tc>
        <w:tc>
          <w:tcPr>
            <w:tcW w:w="1708" w:type="dxa"/>
          </w:tcPr>
          <w:p>
            <w:pPr>
              <w:pStyle w:val="TableParagraph"/>
              <w:rPr>
                <w:rFonts w:ascii="Times New Roman"/>
                <w:sz w:val="20"/>
              </w:rPr>
            </w:pPr>
          </w:p>
        </w:tc>
      </w:tr>
      <w:tr>
        <w:trPr>
          <w:trHeight w:val="406" w:hRule="atLeast"/>
        </w:trPr>
        <w:tc>
          <w:tcPr>
            <w:tcW w:w="911" w:type="dxa"/>
          </w:tcPr>
          <w:p>
            <w:pPr>
              <w:pStyle w:val="TableParagraph"/>
              <w:spacing w:before="1"/>
              <w:ind w:left="5"/>
              <w:jc w:val="center"/>
              <w:rPr>
                <w:sz w:val="20"/>
              </w:rPr>
            </w:pPr>
            <w:r>
              <w:rPr>
                <w:w w:val="111"/>
                <w:sz w:val="20"/>
              </w:rPr>
              <w:t>3</w:t>
            </w:r>
          </w:p>
        </w:tc>
        <w:tc>
          <w:tcPr>
            <w:tcW w:w="2937" w:type="dxa"/>
          </w:tcPr>
          <w:p>
            <w:pPr>
              <w:pStyle w:val="TableParagraph"/>
              <w:spacing w:before="1"/>
              <w:ind w:left="7"/>
              <w:jc w:val="center"/>
              <w:rPr>
                <w:sz w:val="20"/>
              </w:rPr>
            </w:pPr>
            <w:r>
              <w:rPr>
                <w:w w:val="99"/>
                <w:sz w:val="20"/>
              </w:rPr>
              <w:t>…</w:t>
            </w:r>
          </w:p>
        </w:tc>
        <w:tc>
          <w:tcPr>
            <w:tcW w:w="1347" w:type="dxa"/>
          </w:tcPr>
          <w:p>
            <w:pPr>
              <w:pStyle w:val="TableParagraph"/>
              <w:rPr>
                <w:rFonts w:ascii="Times New Roman"/>
                <w:sz w:val="20"/>
              </w:rPr>
            </w:pPr>
          </w:p>
        </w:tc>
        <w:tc>
          <w:tcPr>
            <w:tcW w:w="1206" w:type="dxa"/>
          </w:tcPr>
          <w:p>
            <w:pPr>
              <w:pStyle w:val="TableParagraph"/>
              <w:rPr>
                <w:rFonts w:ascii="Times New Roman"/>
                <w:sz w:val="20"/>
              </w:rPr>
            </w:pPr>
          </w:p>
        </w:tc>
        <w:tc>
          <w:tcPr>
            <w:tcW w:w="1345" w:type="dxa"/>
          </w:tcPr>
          <w:p>
            <w:pPr>
              <w:pStyle w:val="TableParagraph"/>
              <w:rPr>
                <w:rFonts w:ascii="Times New Roman"/>
                <w:sz w:val="20"/>
              </w:rPr>
            </w:pPr>
          </w:p>
        </w:tc>
        <w:tc>
          <w:tcPr>
            <w:tcW w:w="1708" w:type="dxa"/>
          </w:tcPr>
          <w:p>
            <w:pPr>
              <w:pStyle w:val="TableParagraph"/>
              <w:rPr>
                <w:rFonts w:ascii="Times New Roman"/>
                <w:sz w:val="20"/>
              </w:rPr>
            </w:pPr>
          </w:p>
        </w:tc>
      </w:tr>
      <w:tr>
        <w:trPr>
          <w:trHeight w:val="406" w:hRule="atLeast"/>
        </w:trPr>
        <w:tc>
          <w:tcPr>
            <w:tcW w:w="3848" w:type="dxa"/>
            <w:gridSpan w:val="2"/>
          </w:tcPr>
          <w:p>
            <w:pPr>
              <w:pStyle w:val="TableParagraph"/>
              <w:spacing w:before="73"/>
              <w:ind w:left="1303" w:right="1294"/>
              <w:jc w:val="center"/>
              <w:rPr>
                <w:sz w:val="20"/>
              </w:rPr>
            </w:pPr>
            <w:r>
              <w:rPr>
                <w:sz w:val="20"/>
              </w:rPr>
              <w:t>总价（小写）</w:t>
            </w:r>
          </w:p>
        </w:tc>
        <w:tc>
          <w:tcPr>
            <w:tcW w:w="5606" w:type="dxa"/>
            <w:gridSpan w:val="4"/>
          </w:tcPr>
          <w:p>
            <w:pPr>
              <w:pStyle w:val="TableParagraph"/>
              <w:rPr>
                <w:rFonts w:ascii="Times New Roman"/>
                <w:sz w:val="20"/>
              </w:rPr>
            </w:pPr>
          </w:p>
        </w:tc>
      </w:tr>
      <w:tr>
        <w:trPr>
          <w:trHeight w:val="406" w:hRule="atLeast"/>
        </w:trPr>
        <w:tc>
          <w:tcPr>
            <w:tcW w:w="3848" w:type="dxa"/>
            <w:gridSpan w:val="2"/>
          </w:tcPr>
          <w:p>
            <w:pPr>
              <w:pStyle w:val="TableParagraph"/>
              <w:spacing w:before="73"/>
              <w:ind w:left="1303" w:right="1294"/>
              <w:jc w:val="center"/>
              <w:rPr>
                <w:sz w:val="20"/>
              </w:rPr>
            </w:pPr>
            <w:r>
              <w:rPr>
                <w:sz w:val="20"/>
              </w:rPr>
              <w:t>总价（大写）</w:t>
            </w:r>
          </w:p>
        </w:tc>
        <w:tc>
          <w:tcPr>
            <w:tcW w:w="5606" w:type="dxa"/>
            <w:gridSpan w:val="4"/>
          </w:tcPr>
          <w:p>
            <w:pPr>
              <w:pStyle w:val="TableParagraph"/>
              <w:rPr>
                <w:rFonts w:ascii="Times New Roman"/>
                <w:sz w:val="20"/>
              </w:rPr>
            </w:pP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15"/>
        </w:rPr>
      </w:pPr>
    </w:p>
    <w:p>
      <w:pPr>
        <w:pStyle w:val="BodyText"/>
        <w:tabs>
          <w:tab w:pos="6492" w:val="left" w:leader="none"/>
        </w:tabs>
        <w:spacing w:before="78"/>
        <w:ind w:left="4616"/>
      </w:pPr>
      <w:r>
        <w:rPr>
          <w:spacing w:val="7"/>
        </w:rPr>
        <w:t>投</w:t>
      </w:r>
      <w:r>
        <w:rPr>
          <w:spacing w:val="10"/>
        </w:rPr>
        <w:t>标人</w:t>
      </w:r>
      <w:r>
        <w:rPr>
          <w:spacing w:val="-3"/>
        </w:rPr>
        <w:t>：</w:t>
      </w:r>
      <w:r>
        <w:rPr>
          <w:spacing w:val="-3"/>
          <w:u w:val="single"/>
        </w:rPr>
        <w:t> </w:t>
        <w:tab/>
      </w:r>
      <w:r>
        <w:rPr>
          <w:w w:val="95"/>
        </w:rPr>
        <w:t>（</w:t>
      </w:r>
      <w:r>
        <w:rPr>
          <w:spacing w:val="7"/>
          <w:w w:val="95"/>
        </w:rPr>
        <w:t>盖</w:t>
      </w:r>
      <w:r>
        <w:rPr>
          <w:spacing w:val="10"/>
          <w:w w:val="95"/>
        </w:rPr>
        <w:t>单</w:t>
      </w:r>
      <w:r>
        <w:rPr>
          <w:spacing w:val="7"/>
          <w:w w:val="95"/>
        </w:rPr>
        <w:t>位</w:t>
      </w:r>
      <w:r>
        <w:rPr>
          <w:spacing w:val="10"/>
          <w:w w:val="95"/>
        </w:rPr>
        <w:t>章</w:t>
      </w:r>
      <w:r>
        <w:rPr>
          <w:w w:val="95"/>
        </w:rPr>
        <w:t>）</w:t>
      </w:r>
    </w:p>
    <w:p>
      <w:pPr>
        <w:pStyle w:val="BodyText"/>
      </w:pPr>
    </w:p>
    <w:p>
      <w:pPr>
        <w:pStyle w:val="BodyText"/>
        <w:rPr>
          <w:sz w:val="17"/>
        </w:rPr>
      </w:pPr>
    </w:p>
    <w:p>
      <w:pPr>
        <w:pStyle w:val="BodyText"/>
        <w:tabs>
          <w:tab w:pos="6627" w:val="left" w:leader="none"/>
          <w:tab w:pos="7469" w:val="left" w:leader="none"/>
          <w:tab w:pos="8341" w:val="left" w:leader="none"/>
        </w:tabs>
        <w:spacing w:before="71"/>
        <w:ind w:left="6173"/>
      </w:pPr>
      <w:r>
        <w:rPr>
          <w:rFonts w:ascii="Times New Roman" w:eastAsia="Times New Roman"/>
          <w:w w:val="99"/>
          <w:u w:val="single"/>
        </w:rPr>
        <w:t> </w:t>
      </w:r>
      <w:r>
        <w:rPr>
          <w:rFonts w:ascii="Times New Roman" w:eastAsia="Times New Roman"/>
          <w:u w:val="single"/>
        </w:rPr>
        <w:tab/>
      </w:r>
      <w:r>
        <w:rPr/>
        <w:t>年</w:t>
      </w:r>
      <w:r>
        <w:rPr>
          <w:u w:val="single"/>
        </w:rPr>
        <w:t> </w:t>
        <w:tab/>
      </w:r>
      <w:r>
        <w:rPr/>
        <w:t>月</w:t>
      </w:r>
      <w:r>
        <w:rPr>
          <w:u w:val="single"/>
        </w:rPr>
        <w:t> </w:t>
        <w:tab/>
      </w:r>
      <w:r>
        <w:rPr/>
        <w:t>日</w:t>
      </w:r>
    </w:p>
    <w:p>
      <w:pPr>
        <w:spacing w:after="0"/>
        <w:sectPr>
          <w:pgSz w:w="11910" w:h="16840"/>
          <w:pgMar w:header="0" w:footer="770" w:top="1540" w:bottom="960" w:left="1300" w:right="500"/>
        </w:sectPr>
      </w:pPr>
    </w:p>
    <w:p>
      <w:pPr>
        <w:pStyle w:val="Heading3"/>
        <w:spacing w:line="545" w:lineRule="exact"/>
        <w:ind w:left="2926"/>
        <w:rPr>
          <w:rFonts w:ascii="Microsoft JhengHei" w:eastAsia="Microsoft JhengHei" w:hint="eastAsia"/>
        </w:rPr>
      </w:pPr>
      <w:r>
        <w:rPr>
          <w:rFonts w:ascii="Microsoft JhengHei" w:eastAsia="Microsoft JhengHei" w:hint="eastAsia"/>
        </w:rPr>
        <w:t>四、采购需求条款偏离表</w:t>
      </w:r>
    </w:p>
    <w:p>
      <w:pPr>
        <w:pStyle w:val="BodyText"/>
        <w:tabs>
          <w:tab w:pos="5257" w:val="left" w:leader="none"/>
        </w:tabs>
        <w:spacing w:line="238" w:lineRule="exact"/>
        <w:ind w:left="115"/>
        <w:rPr>
          <w:rFonts w:ascii="Times New Roman" w:eastAsia="Times New Roman"/>
        </w:rPr>
      </w:pPr>
      <w:r>
        <w:rPr>
          <w:w w:val="95"/>
        </w:rPr>
        <w:t>项目编号</w:t>
      </w:r>
      <w:r>
        <w:rPr>
          <w:spacing w:val="-10"/>
          <w:w w:val="95"/>
        </w:rPr>
        <w:t>：</w:t>
      </w:r>
      <w:r>
        <w:rPr>
          <w:rFonts w:ascii="Times New Roman" w:eastAsia="Times New Roman"/>
          <w:w w:val="95"/>
          <w:u w:val="single"/>
        </w:rPr>
        <w:t> </w:t>
      </w:r>
      <w:r>
        <w:rPr>
          <w:rFonts w:ascii="Times New Roman" w:eastAsia="Times New Roman"/>
          <w:u w:val="single"/>
        </w:rPr>
        <w:tab/>
      </w:r>
    </w:p>
    <w:p>
      <w:pPr>
        <w:pStyle w:val="BodyText"/>
        <w:tabs>
          <w:tab w:pos="5257" w:val="left" w:leader="none"/>
        </w:tabs>
        <w:spacing w:before="3"/>
        <w:ind w:left="115"/>
        <w:rPr>
          <w:rFonts w:ascii="Times New Roman" w:eastAsia="Times New Roman"/>
        </w:rPr>
      </w:pPr>
      <w:r>
        <w:rPr>
          <w:w w:val="95"/>
        </w:rPr>
        <w:t>项目名称</w:t>
      </w:r>
      <w:r>
        <w:rPr>
          <w:spacing w:val="-10"/>
          <w:w w:val="95"/>
        </w:rPr>
        <w:t>：</w:t>
      </w:r>
      <w:r>
        <w:rPr>
          <w:rFonts w:ascii="Times New Roman" w:eastAsia="Times New Roman"/>
          <w:w w:val="95"/>
          <w:u w:val="single"/>
        </w:rPr>
        <w:t> </w:t>
      </w:r>
      <w:r>
        <w:rPr>
          <w:rFonts w:ascii="Times New Roman" w:eastAsia="Times New Roman"/>
          <w:u w:val="single"/>
        </w:rPr>
        <w:tab/>
      </w:r>
    </w:p>
    <w:p>
      <w:pPr>
        <w:pStyle w:val="BodyText"/>
        <w:spacing w:before="9"/>
        <w:rPr>
          <w:rFonts w:ascii="Times New Roman"/>
          <w:sz w:val="22"/>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4"/>
        <w:gridCol w:w="1772"/>
        <w:gridCol w:w="1676"/>
        <w:gridCol w:w="1676"/>
        <w:gridCol w:w="1877"/>
        <w:gridCol w:w="1215"/>
      </w:tblGrid>
      <w:tr>
        <w:trPr>
          <w:trHeight w:val="929" w:hRule="atLeast"/>
        </w:trPr>
        <w:tc>
          <w:tcPr>
            <w:tcW w:w="1444" w:type="dxa"/>
          </w:tcPr>
          <w:p>
            <w:pPr>
              <w:pStyle w:val="TableParagraph"/>
              <w:spacing w:before="1"/>
              <w:rPr>
                <w:rFonts w:ascii="Times New Roman"/>
                <w:sz w:val="29"/>
              </w:rPr>
            </w:pPr>
          </w:p>
          <w:p>
            <w:pPr>
              <w:pStyle w:val="TableParagraph"/>
              <w:spacing w:before="1"/>
              <w:ind w:left="501" w:right="493"/>
              <w:jc w:val="center"/>
              <w:rPr>
                <w:sz w:val="20"/>
              </w:rPr>
            </w:pPr>
            <w:r>
              <w:rPr>
                <w:sz w:val="20"/>
              </w:rPr>
              <w:t>序号</w:t>
            </w:r>
          </w:p>
        </w:tc>
        <w:tc>
          <w:tcPr>
            <w:tcW w:w="1772" w:type="dxa"/>
          </w:tcPr>
          <w:p>
            <w:pPr>
              <w:pStyle w:val="TableParagraph"/>
              <w:spacing w:before="1"/>
              <w:rPr>
                <w:rFonts w:ascii="Times New Roman"/>
                <w:sz w:val="18"/>
              </w:rPr>
            </w:pPr>
          </w:p>
          <w:p>
            <w:pPr>
              <w:pStyle w:val="TableParagraph"/>
              <w:ind w:left="165" w:right="157"/>
              <w:jc w:val="center"/>
              <w:rPr>
                <w:sz w:val="20"/>
              </w:rPr>
            </w:pPr>
            <w:r>
              <w:rPr>
                <w:sz w:val="20"/>
              </w:rPr>
              <w:t>招标文件条目号</w:t>
            </w:r>
          </w:p>
          <w:p>
            <w:pPr>
              <w:pStyle w:val="TableParagraph"/>
              <w:ind w:left="165" w:right="157"/>
              <w:jc w:val="center"/>
              <w:rPr>
                <w:sz w:val="20"/>
              </w:rPr>
            </w:pPr>
            <w:r>
              <w:rPr>
                <w:sz w:val="20"/>
              </w:rPr>
              <w:t>（页码）</w:t>
            </w:r>
          </w:p>
        </w:tc>
        <w:tc>
          <w:tcPr>
            <w:tcW w:w="1676" w:type="dxa"/>
          </w:tcPr>
          <w:p>
            <w:pPr>
              <w:pStyle w:val="TableParagraph"/>
              <w:spacing w:before="1"/>
              <w:rPr>
                <w:rFonts w:ascii="Times New Roman"/>
                <w:sz w:val="29"/>
              </w:rPr>
            </w:pPr>
          </w:p>
          <w:p>
            <w:pPr>
              <w:pStyle w:val="TableParagraph"/>
              <w:spacing w:before="1"/>
              <w:ind w:left="243"/>
              <w:rPr>
                <w:sz w:val="20"/>
              </w:rPr>
            </w:pPr>
            <w:r>
              <w:rPr>
                <w:sz w:val="20"/>
              </w:rPr>
              <w:t>招标文件要求</w:t>
            </w:r>
          </w:p>
        </w:tc>
        <w:tc>
          <w:tcPr>
            <w:tcW w:w="1676" w:type="dxa"/>
          </w:tcPr>
          <w:p>
            <w:pPr>
              <w:pStyle w:val="TableParagraph"/>
              <w:spacing w:before="1"/>
              <w:rPr>
                <w:rFonts w:ascii="Times New Roman"/>
                <w:sz w:val="29"/>
              </w:rPr>
            </w:pPr>
          </w:p>
          <w:p>
            <w:pPr>
              <w:pStyle w:val="TableParagraph"/>
              <w:spacing w:before="1"/>
              <w:ind w:left="242"/>
              <w:rPr>
                <w:sz w:val="20"/>
              </w:rPr>
            </w:pPr>
            <w:r>
              <w:rPr>
                <w:sz w:val="20"/>
              </w:rPr>
              <w:t>投标文件内容</w:t>
            </w:r>
          </w:p>
        </w:tc>
        <w:tc>
          <w:tcPr>
            <w:tcW w:w="1877" w:type="dxa"/>
          </w:tcPr>
          <w:p>
            <w:pPr>
              <w:pStyle w:val="TableParagraph"/>
              <w:spacing w:before="1"/>
              <w:rPr>
                <w:rFonts w:ascii="Times New Roman"/>
                <w:sz w:val="29"/>
              </w:rPr>
            </w:pPr>
          </w:p>
          <w:p>
            <w:pPr>
              <w:pStyle w:val="TableParagraph"/>
              <w:spacing w:before="1"/>
              <w:ind w:left="544"/>
              <w:rPr>
                <w:sz w:val="20"/>
              </w:rPr>
            </w:pPr>
            <w:r>
              <w:rPr>
                <w:sz w:val="20"/>
              </w:rPr>
              <w:t>偏离情况</w:t>
            </w:r>
          </w:p>
        </w:tc>
        <w:tc>
          <w:tcPr>
            <w:tcW w:w="1215" w:type="dxa"/>
          </w:tcPr>
          <w:p>
            <w:pPr>
              <w:pStyle w:val="TableParagraph"/>
              <w:spacing w:before="1"/>
              <w:rPr>
                <w:rFonts w:ascii="Times New Roman"/>
                <w:sz w:val="29"/>
              </w:rPr>
            </w:pPr>
          </w:p>
          <w:p>
            <w:pPr>
              <w:pStyle w:val="TableParagraph"/>
              <w:spacing w:before="1"/>
              <w:ind w:left="407"/>
              <w:rPr>
                <w:sz w:val="20"/>
              </w:rPr>
            </w:pPr>
            <w:r>
              <w:rPr>
                <w:sz w:val="20"/>
              </w:rPr>
              <w:t>说明</w:t>
            </w:r>
          </w:p>
        </w:tc>
      </w:tr>
      <w:tr>
        <w:trPr>
          <w:trHeight w:val="1555" w:hRule="atLeast"/>
        </w:trPr>
        <w:tc>
          <w:tcPr>
            <w:tcW w:w="9660" w:type="dxa"/>
            <w:gridSpan w:val="6"/>
          </w:tcPr>
          <w:p>
            <w:pPr>
              <w:pStyle w:val="TableParagraph"/>
              <w:spacing w:before="1"/>
              <w:ind w:left="483"/>
              <w:rPr>
                <w:sz w:val="20"/>
              </w:rPr>
            </w:pPr>
            <w:r>
              <w:rPr>
                <w:w w:val="99"/>
                <w:sz w:val="20"/>
              </w:rPr>
              <w:t>对本项目采购需求条款的偏离情况</w:t>
            </w:r>
            <w:r>
              <w:rPr>
                <w:spacing w:val="1"/>
                <w:w w:val="99"/>
                <w:sz w:val="20"/>
              </w:rPr>
              <w:t>（</w:t>
            </w:r>
            <w:r>
              <w:rPr>
                <w:w w:val="99"/>
                <w:sz w:val="20"/>
              </w:rPr>
              <w:t>应进行选择，未选择响应无效</w:t>
            </w:r>
            <w:r>
              <w:rPr>
                <w:spacing w:val="-125"/>
                <w:w w:val="99"/>
                <w:sz w:val="20"/>
              </w:rPr>
              <w:t>）</w:t>
            </w:r>
            <w:r>
              <w:rPr>
                <w:w w:val="99"/>
                <w:sz w:val="20"/>
              </w:rPr>
              <w:t>:</w:t>
            </w:r>
          </w:p>
          <w:p>
            <w:pPr>
              <w:pStyle w:val="TableParagraph"/>
              <w:numPr>
                <w:ilvl w:val="0"/>
                <w:numId w:val="60"/>
              </w:numPr>
              <w:tabs>
                <w:tab w:pos="686" w:val="left" w:leader="none"/>
              </w:tabs>
              <w:spacing w:line="242" w:lineRule="auto" w:before="3" w:after="0"/>
              <w:ind w:left="3" w:right="92" w:firstLine="480"/>
              <w:jc w:val="left"/>
              <w:rPr>
                <w:sz w:val="20"/>
              </w:rPr>
            </w:pPr>
            <w:r>
              <w:rPr>
                <w:spacing w:val="-3"/>
                <w:w w:val="95"/>
                <w:sz w:val="20"/>
              </w:rPr>
              <w:t>无偏离</w:t>
            </w:r>
            <w:r>
              <w:rPr>
                <w:w w:val="95"/>
                <w:sz w:val="20"/>
              </w:rPr>
              <w:t>（</w:t>
            </w:r>
            <w:r>
              <w:rPr>
                <w:spacing w:val="-8"/>
                <w:w w:val="95"/>
                <w:sz w:val="20"/>
              </w:rPr>
              <w:t>如无偏离，仅选择无偏离即可；无偏离即为对采购需求条款中的所有要求，均视作供应商已对   </w:t>
            </w:r>
            <w:r>
              <w:rPr>
                <w:spacing w:val="-12"/>
                <w:sz w:val="20"/>
              </w:rPr>
              <w:t>之理解和响应。</w:t>
            </w:r>
            <w:r>
              <w:rPr>
                <w:sz w:val="20"/>
              </w:rPr>
              <w:t>）</w:t>
            </w:r>
          </w:p>
          <w:p>
            <w:pPr>
              <w:pStyle w:val="TableParagraph"/>
              <w:numPr>
                <w:ilvl w:val="0"/>
                <w:numId w:val="60"/>
              </w:numPr>
              <w:tabs>
                <w:tab w:pos="686" w:val="left" w:leader="none"/>
              </w:tabs>
              <w:spacing w:line="240" w:lineRule="auto" w:before="3" w:after="0"/>
              <w:ind w:left="3" w:right="63" w:firstLine="480"/>
              <w:jc w:val="left"/>
              <w:rPr>
                <w:sz w:val="20"/>
              </w:rPr>
            </w:pPr>
            <w:r>
              <w:rPr>
                <w:spacing w:val="-3"/>
                <w:w w:val="95"/>
                <w:sz w:val="20"/>
              </w:rPr>
              <w:t>有偏离</w:t>
            </w:r>
            <w:r>
              <w:rPr>
                <w:w w:val="95"/>
                <w:sz w:val="20"/>
              </w:rPr>
              <w:t>（</w:t>
            </w:r>
            <w:r>
              <w:rPr>
                <w:spacing w:val="-6"/>
                <w:w w:val="95"/>
                <w:sz w:val="20"/>
              </w:rPr>
              <w:t>如有偏离，则应在本表中对偏离项逐一列明，否则响应无效；对采购需求条款中的所有要求，   </w:t>
            </w:r>
            <w:r>
              <w:rPr>
                <w:spacing w:val="-7"/>
                <w:sz w:val="20"/>
              </w:rPr>
              <w:t>除本表列明的偏离外，均视作供应商已对之理解和响应。</w:t>
            </w:r>
            <w:r>
              <w:rPr>
                <w:sz w:val="20"/>
              </w:rPr>
              <w:t>）</w:t>
            </w:r>
          </w:p>
        </w:tc>
      </w:tr>
      <w:tr>
        <w:trPr>
          <w:trHeight w:val="929" w:hRule="atLeast"/>
        </w:trPr>
        <w:tc>
          <w:tcPr>
            <w:tcW w:w="1444" w:type="dxa"/>
          </w:tcPr>
          <w:p>
            <w:pPr>
              <w:pStyle w:val="TableParagraph"/>
              <w:rPr>
                <w:rFonts w:ascii="Times New Roman"/>
                <w:sz w:val="20"/>
              </w:rPr>
            </w:pPr>
          </w:p>
        </w:tc>
        <w:tc>
          <w:tcPr>
            <w:tcW w:w="1772" w:type="dxa"/>
          </w:tcPr>
          <w:p>
            <w:pPr>
              <w:pStyle w:val="TableParagraph"/>
              <w:rPr>
                <w:rFonts w:ascii="Times New Roman"/>
                <w:sz w:val="20"/>
              </w:rPr>
            </w:pPr>
          </w:p>
        </w:tc>
        <w:tc>
          <w:tcPr>
            <w:tcW w:w="1676" w:type="dxa"/>
          </w:tcPr>
          <w:p>
            <w:pPr>
              <w:pStyle w:val="TableParagraph"/>
              <w:rPr>
                <w:rFonts w:ascii="Times New Roman"/>
                <w:sz w:val="20"/>
              </w:rPr>
            </w:pPr>
          </w:p>
        </w:tc>
        <w:tc>
          <w:tcPr>
            <w:tcW w:w="1676" w:type="dxa"/>
          </w:tcPr>
          <w:p>
            <w:pPr>
              <w:pStyle w:val="TableParagraph"/>
              <w:rPr>
                <w:rFonts w:ascii="Times New Roman"/>
                <w:sz w:val="20"/>
              </w:rPr>
            </w:pPr>
          </w:p>
        </w:tc>
        <w:tc>
          <w:tcPr>
            <w:tcW w:w="1877" w:type="dxa"/>
          </w:tcPr>
          <w:p>
            <w:pPr>
              <w:pStyle w:val="TableParagraph"/>
              <w:rPr>
                <w:rFonts w:ascii="Times New Roman"/>
                <w:sz w:val="20"/>
              </w:rPr>
            </w:pPr>
          </w:p>
        </w:tc>
        <w:tc>
          <w:tcPr>
            <w:tcW w:w="1215" w:type="dxa"/>
          </w:tcPr>
          <w:p>
            <w:pPr>
              <w:pStyle w:val="TableParagraph"/>
              <w:rPr>
                <w:rFonts w:ascii="Times New Roman"/>
                <w:sz w:val="20"/>
              </w:rPr>
            </w:pPr>
          </w:p>
        </w:tc>
      </w:tr>
      <w:tr>
        <w:trPr>
          <w:trHeight w:val="928" w:hRule="atLeast"/>
        </w:trPr>
        <w:tc>
          <w:tcPr>
            <w:tcW w:w="1444" w:type="dxa"/>
          </w:tcPr>
          <w:p>
            <w:pPr>
              <w:pStyle w:val="TableParagraph"/>
              <w:rPr>
                <w:rFonts w:ascii="Times New Roman"/>
                <w:sz w:val="20"/>
              </w:rPr>
            </w:pPr>
          </w:p>
        </w:tc>
        <w:tc>
          <w:tcPr>
            <w:tcW w:w="1772" w:type="dxa"/>
          </w:tcPr>
          <w:p>
            <w:pPr>
              <w:pStyle w:val="TableParagraph"/>
              <w:rPr>
                <w:rFonts w:ascii="Times New Roman"/>
                <w:sz w:val="20"/>
              </w:rPr>
            </w:pPr>
          </w:p>
        </w:tc>
        <w:tc>
          <w:tcPr>
            <w:tcW w:w="1676" w:type="dxa"/>
          </w:tcPr>
          <w:p>
            <w:pPr>
              <w:pStyle w:val="TableParagraph"/>
              <w:rPr>
                <w:rFonts w:ascii="Times New Roman"/>
                <w:sz w:val="20"/>
              </w:rPr>
            </w:pPr>
          </w:p>
        </w:tc>
        <w:tc>
          <w:tcPr>
            <w:tcW w:w="1676" w:type="dxa"/>
          </w:tcPr>
          <w:p>
            <w:pPr>
              <w:pStyle w:val="TableParagraph"/>
              <w:rPr>
                <w:rFonts w:ascii="Times New Roman"/>
                <w:sz w:val="20"/>
              </w:rPr>
            </w:pPr>
          </w:p>
        </w:tc>
        <w:tc>
          <w:tcPr>
            <w:tcW w:w="1877" w:type="dxa"/>
          </w:tcPr>
          <w:p>
            <w:pPr>
              <w:pStyle w:val="TableParagraph"/>
              <w:rPr>
                <w:rFonts w:ascii="Times New Roman"/>
                <w:sz w:val="20"/>
              </w:rPr>
            </w:pPr>
          </w:p>
        </w:tc>
        <w:tc>
          <w:tcPr>
            <w:tcW w:w="1215" w:type="dxa"/>
          </w:tcPr>
          <w:p>
            <w:pPr>
              <w:pStyle w:val="TableParagraph"/>
              <w:rPr>
                <w:rFonts w:ascii="Times New Roman"/>
                <w:sz w:val="20"/>
              </w:rPr>
            </w:pPr>
          </w:p>
        </w:tc>
      </w:tr>
      <w:tr>
        <w:trPr>
          <w:trHeight w:val="928" w:hRule="atLeast"/>
        </w:trPr>
        <w:tc>
          <w:tcPr>
            <w:tcW w:w="1444" w:type="dxa"/>
          </w:tcPr>
          <w:p>
            <w:pPr>
              <w:pStyle w:val="TableParagraph"/>
              <w:rPr>
                <w:rFonts w:ascii="Times New Roman"/>
                <w:sz w:val="20"/>
              </w:rPr>
            </w:pPr>
          </w:p>
        </w:tc>
        <w:tc>
          <w:tcPr>
            <w:tcW w:w="1772" w:type="dxa"/>
          </w:tcPr>
          <w:p>
            <w:pPr>
              <w:pStyle w:val="TableParagraph"/>
              <w:rPr>
                <w:rFonts w:ascii="Times New Roman"/>
                <w:sz w:val="20"/>
              </w:rPr>
            </w:pPr>
          </w:p>
        </w:tc>
        <w:tc>
          <w:tcPr>
            <w:tcW w:w="1676" w:type="dxa"/>
          </w:tcPr>
          <w:p>
            <w:pPr>
              <w:pStyle w:val="TableParagraph"/>
              <w:rPr>
                <w:rFonts w:ascii="Times New Roman"/>
                <w:sz w:val="20"/>
              </w:rPr>
            </w:pPr>
          </w:p>
        </w:tc>
        <w:tc>
          <w:tcPr>
            <w:tcW w:w="1676" w:type="dxa"/>
          </w:tcPr>
          <w:p>
            <w:pPr>
              <w:pStyle w:val="TableParagraph"/>
              <w:rPr>
                <w:rFonts w:ascii="Times New Roman"/>
                <w:sz w:val="20"/>
              </w:rPr>
            </w:pPr>
          </w:p>
        </w:tc>
        <w:tc>
          <w:tcPr>
            <w:tcW w:w="1877" w:type="dxa"/>
          </w:tcPr>
          <w:p>
            <w:pPr>
              <w:pStyle w:val="TableParagraph"/>
              <w:rPr>
                <w:rFonts w:ascii="Times New Roman"/>
                <w:sz w:val="20"/>
              </w:rPr>
            </w:pPr>
          </w:p>
        </w:tc>
        <w:tc>
          <w:tcPr>
            <w:tcW w:w="1215" w:type="dxa"/>
          </w:tcPr>
          <w:p>
            <w:pPr>
              <w:pStyle w:val="TableParagraph"/>
              <w:rPr>
                <w:rFonts w:ascii="Times New Roman"/>
                <w:sz w:val="20"/>
              </w:rPr>
            </w:pPr>
          </w:p>
        </w:tc>
      </w:tr>
      <w:tr>
        <w:trPr>
          <w:trHeight w:val="928" w:hRule="atLeast"/>
        </w:trPr>
        <w:tc>
          <w:tcPr>
            <w:tcW w:w="1444" w:type="dxa"/>
          </w:tcPr>
          <w:p>
            <w:pPr>
              <w:pStyle w:val="TableParagraph"/>
              <w:rPr>
                <w:rFonts w:ascii="Times New Roman"/>
                <w:sz w:val="20"/>
              </w:rPr>
            </w:pPr>
          </w:p>
        </w:tc>
        <w:tc>
          <w:tcPr>
            <w:tcW w:w="1772" w:type="dxa"/>
          </w:tcPr>
          <w:p>
            <w:pPr>
              <w:pStyle w:val="TableParagraph"/>
              <w:rPr>
                <w:rFonts w:ascii="Times New Roman"/>
                <w:sz w:val="20"/>
              </w:rPr>
            </w:pPr>
          </w:p>
        </w:tc>
        <w:tc>
          <w:tcPr>
            <w:tcW w:w="1676" w:type="dxa"/>
          </w:tcPr>
          <w:p>
            <w:pPr>
              <w:pStyle w:val="TableParagraph"/>
              <w:rPr>
                <w:rFonts w:ascii="Times New Roman"/>
                <w:sz w:val="20"/>
              </w:rPr>
            </w:pPr>
          </w:p>
        </w:tc>
        <w:tc>
          <w:tcPr>
            <w:tcW w:w="1676" w:type="dxa"/>
          </w:tcPr>
          <w:p>
            <w:pPr>
              <w:pStyle w:val="TableParagraph"/>
              <w:rPr>
                <w:rFonts w:ascii="Times New Roman"/>
                <w:sz w:val="20"/>
              </w:rPr>
            </w:pPr>
          </w:p>
        </w:tc>
        <w:tc>
          <w:tcPr>
            <w:tcW w:w="1877" w:type="dxa"/>
          </w:tcPr>
          <w:p>
            <w:pPr>
              <w:pStyle w:val="TableParagraph"/>
              <w:rPr>
                <w:rFonts w:ascii="Times New Roman"/>
                <w:sz w:val="20"/>
              </w:rPr>
            </w:pPr>
          </w:p>
        </w:tc>
        <w:tc>
          <w:tcPr>
            <w:tcW w:w="1215" w:type="dxa"/>
          </w:tcPr>
          <w:p>
            <w:pPr>
              <w:pStyle w:val="TableParagraph"/>
              <w:rPr>
                <w:rFonts w:ascii="Times New Roman"/>
                <w:sz w:val="20"/>
              </w:rPr>
            </w:pPr>
          </w:p>
        </w:tc>
      </w:tr>
    </w:tbl>
    <w:p>
      <w:pPr>
        <w:pStyle w:val="BodyText"/>
        <w:tabs>
          <w:tab w:pos="3755" w:val="left" w:leader="none"/>
          <w:tab w:pos="5301" w:val="left" w:leader="none"/>
        </w:tabs>
        <w:spacing w:line="510" w:lineRule="atLeast" w:before="12"/>
        <w:ind w:left="595" w:right="4307"/>
        <w:rPr>
          <w:rFonts w:ascii="Times New Roman" w:hAnsi="Times New Roman" w:eastAsia="Times New Roman"/>
        </w:rPr>
      </w:pPr>
      <w:r>
        <w:rPr/>
        <w:t>注</w:t>
      </w:r>
      <w:r>
        <w:rPr>
          <w:spacing w:val="-31"/>
        </w:rPr>
        <w:t>：</w:t>
      </w:r>
      <w:r>
        <w:rPr>
          <w:i/>
          <w:spacing w:val="-31"/>
          <w:sz w:val="21"/>
        </w:rPr>
        <w:t>“</w:t>
      </w:r>
      <w:r>
        <w:rPr/>
        <w:t>偏离情</w:t>
      </w:r>
      <w:r>
        <w:rPr>
          <w:spacing w:val="-7"/>
        </w:rPr>
        <w:t>况</w:t>
      </w:r>
      <w:r>
        <w:rPr>
          <w:i/>
          <w:spacing w:val="-55"/>
          <w:sz w:val="21"/>
        </w:rPr>
        <w:t>”</w:t>
      </w:r>
      <w:r>
        <w:rPr/>
        <w:t>列应据实填</w:t>
      </w:r>
      <w:r>
        <w:rPr>
          <w:spacing w:val="-9"/>
        </w:rPr>
        <w:t>写</w:t>
      </w:r>
      <w:r>
        <w:rPr>
          <w:i/>
          <w:spacing w:val="-55"/>
          <w:sz w:val="21"/>
        </w:rPr>
        <w:t>“</w:t>
      </w:r>
      <w:r>
        <w:rPr/>
        <w:t>正偏</w:t>
      </w:r>
      <w:r>
        <w:rPr>
          <w:spacing w:val="-9"/>
        </w:rPr>
        <w:t>离</w:t>
      </w:r>
      <w:r>
        <w:rPr>
          <w:i/>
          <w:spacing w:val="-53"/>
          <w:sz w:val="21"/>
        </w:rPr>
        <w:t>”</w:t>
      </w:r>
      <w:r>
        <w:rPr>
          <w:spacing w:val="-9"/>
        </w:rPr>
        <w:t>或</w:t>
      </w:r>
      <w:r>
        <w:rPr>
          <w:i/>
          <w:spacing w:val="-55"/>
          <w:sz w:val="21"/>
        </w:rPr>
        <w:t>“</w:t>
      </w:r>
      <w:r>
        <w:rPr/>
        <w:t>负偏</w:t>
      </w:r>
      <w:r>
        <w:rPr>
          <w:spacing w:val="-9"/>
        </w:rPr>
        <w:t>离</w:t>
      </w:r>
      <w:r>
        <w:rPr>
          <w:i/>
          <w:spacing w:val="-53"/>
          <w:sz w:val="21"/>
        </w:rPr>
        <w:t>”</w:t>
      </w:r>
      <w:r>
        <w:rPr/>
        <w:t>。</w:t>
      </w:r>
      <w:r>
        <w:rPr>
          <w:spacing w:val="21"/>
        </w:rPr>
        <w:t> </w:t>
      </w:r>
      <w:r>
        <w:rPr/>
        <w:t>供</w:t>
      </w:r>
      <w:r>
        <w:rPr>
          <w:w w:val="95"/>
        </w:rPr>
        <w:t>应商名称（加盖公章）：</w:t>
      </w:r>
      <w:r>
        <w:rPr/>
        <w:tab/>
      </w:r>
      <w:r>
        <w:rPr>
          <w:rFonts w:ascii="Times New Roman" w:hAnsi="Times New Roman" w:eastAsia="Times New Roman"/>
          <w:w w:val="99"/>
          <w:u w:val="single"/>
        </w:rPr>
        <w:t> </w:t>
      </w:r>
      <w:r>
        <w:rPr>
          <w:rFonts w:ascii="Times New Roman" w:hAnsi="Times New Roman" w:eastAsia="Times New Roman"/>
          <w:u w:val="single"/>
        </w:rPr>
        <w:tab/>
      </w:r>
    </w:p>
    <w:p>
      <w:pPr>
        <w:pStyle w:val="BodyText"/>
        <w:tabs>
          <w:tab w:pos="1836" w:val="left" w:leader="none"/>
          <w:tab w:pos="2796" w:val="left" w:leader="none"/>
          <w:tab w:pos="3756" w:val="left" w:leader="none"/>
        </w:tabs>
        <w:spacing w:before="8"/>
        <w:ind w:left="595"/>
      </w:pPr>
      <w:r>
        <w:rPr/>
        <w:t>日期</w:t>
      </w:r>
      <w:r>
        <w:rPr>
          <w:spacing w:val="-10"/>
        </w:rPr>
        <w:t>：</w:t>
      </w:r>
      <w:r>
        <w:rPr>
          <w:spacing w:val="-10"/>
          <w:u w:val="single"/>
        </w:rPr>
        <w:t> </w:t>
        <w:tab/>
      </w:r>
      <w:r>
        <w:rPr>
          <w:spacing w:val="-8"/>
        </w:rPr>
        <w:t>年</w:t>
      </w:r>
      <w:r>
        <w:rPr>
          <w:spacing w:val="-8"/>
          <w:u w:val="single"/>
        </w:rPr>
        <w:t> </w:t>
        <w:tab/>
      </w:r>
      <w:r>
        <w:rPr>
          <w:spacing w:val="-8"/>
        </w:rPr>
        <w:t>月</w:t>
      </w:r>
      <w:r>
        <w:rPr>
          <w:spacing w:val="-8"/>
          <w:u w:val="single"/>
        </w:rPr>
        <w:t> </w:t>
        <w:tab/>
      </w:r>
      <w:r>
        <w:rPr/>
        <w:t>日</w:t>
      </w:r>
    </w:p>
    <w:p>
      <w:pPr>
        <w:spacing w:after="0"/>
        <w:sectPr>
          <w:footerReference w:type="default" r:id="rId27"/>
          <w:pgSz w:w="11910" w:h="16840"/>
          <w:pgMar w:footer="770" w:header="0" w:top="1560" w:bottom="960" w:left="1300" w:right="500"/>
          <w:pgNumType w:start="60"/>
        </w:sectPr>
      </w:pPr>
    </w:p>
    <w:p>
      <w:pPr>
        <w:pStyle w:val="BodyText"/>
        <w:rPr>
          <w:sz w:val="28"/>
        </w:rPr>
      </w:pPr>
    </w:p>
    <w:p>
      <w:pPr>
        <w:pStyle w:val="Heading7"/>
        <w:spacing w:before="242"/>
        <w:ind w:left="665"/>
        <w:rPr>
          <w:rFonts w:ascii="宋体" w:eastAsia="宋体" w:hint="eastAsia"/>
        </w:rPr>
      </w:pPr>
      <w:r>
        <w:rPr>
          <w:rFonts w:ascii="宋体" w:eastAsia="宋体" w:hint="eastAsia"/>
          <w:spacing w:val="-5"/>
        </w:rPr>
        <w:t>（</w:t>
      </w:r>
      <w:r>
        <w:rPr>
          <w:rFonts w:ascii="宋体" w:eastAsia="宋体" w:hint="eastAsia"/>
          <w:spacing w:val="-3"/>
        </w:rPr>
        <w:t>一</w:t>
      </w:r>
      <w:r>
        <w:rPr>
          <w:rFonts w:ascii="宋体" w:eastAsia="宋体" w:hint="eastAsia"/>
          <w:spacing w:val="-5"/>
        </w:rPr>
        <w:t>）</w:t>
      </w:r>
      <w:r>
        <w:rPr>
          <w:rFonts w:ascii="宋体" w:eastAsia="宋体" w:hint="eastAsia"/>
          <w:spacing w:val="-4"/>
        </w:rPr>
        <w:t>基本情况表</w:t>
      </w:r>
    </w:p>
    <w:p>
      <w:pPr>
        <w:pStyle w:val="Heading3"/>
        <w:spacing w:line="569" w:lineRule="exact"/>
        <w:ind w:left="471"/>
        <w:rPr>
          <w:rFonts w:ascii="Microsoft JhengHei" w:eastAsia="Microsoft JhengHei" w:hint="eastAsia"/>
        </w:rPr>
      </w:pPr>
      <w:r>
        <w:rPr>
          <w:b w:val="0"/>
        </w:rPr>
        <w:br w:type="column"/>
      </w:r>
      <w:r>
        <w:rPr/>
        <w:t>五</w:t>
      </w:r>
      <w:r>
        <w:rPr>
          <w:rFonts w:ascii="Microsoft JhengHei" w:eastAsia="Microsoft JhengHei" w:hint="eastAsia"/>
        </w:rPr>
        <w:t>、资格审查资料</w:t>
      </w:r>
    </w:p>
    <w:p>
      <w:pPr>
        <w:spacing w:after="0" w:line="569" w:lineRule="exact"/>
        <w:rPr>
          <w:rFonts w:ascii="Microsoft JhengHei" w:eastAsia="Microsoft JhengHei" w:hint="eastAsia"/>
        </w:rPr>
        <w:sectPr>
          <w:pgSz w:w="11910" w:h="16840"/>
          <w:pgMar w:header="0" w:footer="770" w:top="1300" w:bottom="960" w:left="1300" w:right="500"/>
          <w:cols w:num="2" w:equalWidth="0">
            <w:col w:w="2886" w:space="40"/>
            <w:col w:w="7184"/>
          </w:cols>
        </w:sect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359"/>
        <w:gridCol w:w="780"/>
        <w:gridCol w:w="856"/>
        <w:gridCol w:w="1294"/>
        <w:gridCol w:w="417"/>
        <w:gridCol w:w="875"/>
        <w:gridCol w:w="833"/>
        <w:gridCol w:w="287"/>
        <w:gridCol w:w="1242"/>
      </w:tblGrid>
      <w:tr>
        <w:trPr>
          <w:trHeight w:val="515" w:hRule="atLeast"/>
        </w:trPr>
        <w:tc>
          <w:tcPr>
            <w:tcW w:w="2359" w:type="dxa"/>
          </w:tcPr>
          <w:p>
            <w:pPr>
              <w:pStyle w:val="TableParagraph"/>
              <w:spacing w:before="72"/>
              <w:ind w:left="661"/>
              <w:rPr>
                <w:sz w:val="20"/>
              </w:rPr>
            </w:pPr>
            <w:r>
              <w:rPr>
                <w:sz w:val="20"/>
              </w:rPr>
              <w:t>投标人名称</w:t>
            </w:r>
          </w:p>
        </w:tc>
        <w:tc>
          <w:tcPr>
            <w:tcW w:w="6584" w:type="dxa"/>
            <w:gridSpan w:val="8"/>
          </w:tcPr>
          <w:p>
            <w:pPr>
              <w:pStyle w:val="TableParagraph"/>
              <w:rPr>
                <w:rFonts w:ascii="Times New Roman"/>
                <w:sz w:val="20"/>
              </w:rPr>
            </w:pPr>
          </w:p>
        </w:tc>
      </w:tr>
      <w:tr>
        <w:trPr>
          <w:trHeight w:val="507" w:hRule="atLeast"/>
        </w:trPr>
        <w:tc>
          <w:tcPr>
            <w:tcW w:w="2359" w:type="dxa"/>
          </w:tcPr>
          <w:p>
            <w:pPr>
              <w:pStyle w:val="TableParagraph"/>
              <w:spacing w:before="68"/>
              <w:ind w:left="764"/>
              <w:rPr>
                <w:sz w:val="20"/>
              </w:rPr>
            </w:pPr>
            <w:r>
              <w:rPr>
                <w:sz w:val="20"/>
              </w:rPr>
              <w:t>注册地址</w:t>
            </w:r>
          </w:p>
        </w:tc>
        <w:tc>
          <w:tcPr>
            <w:tcW w:w="2930" w:type="dxa"/>
            <w:gridSpan w:val="3"/>
          </w:tcPr>
          <w:p>
            <w:pPr>
              <w:pStyle w:val="TableParagraph"/>
              <w:rPr>
                <w:rFonts w:ascii="Times New Roman"/>
                <w:sz w:val="20"/>
              </w:rPr>
            </w:pPr>
          </w:p>
        </w:tc>
        <w:tc>
          <w:tcPr>
            <w:tcW w:w="1292" w:type="dxa"/>
            <w:gridSpan w:val="2"/>
          </w:tcPr>
          <w:p>
            <w:pPr>
              <w:pStyle w:val="TableParagraph"/>
              <w:spacing w:before="65"/>
              <w:ind w:left="239"/>
              <w:rPr>
                <w:sz w:val="20"/>
              </w:rPr>
            </w:pPr>
            <w:r>
              <w:rPr>
                <w:sz w:val="20"/>
              </w:rPr>
              <w:t>邮政编码</w:t>
            </w:r>
          </w:p>
        </w:tc>
        <w:tc>
          <w:tcPr>
            <w:tcW w:w="2362" w:type="dxa"/>
            <w:gridSpan w:val="3"/>
          </w:tcPr>
          <w:p>
            <w:pPr>
              <w:pStyle w:val="TableParagraph"/>
              <w:rPr>
                <w:rFonts w:ascii="Times New Roman"/>
                <w:sz w:val="20"/>
              </w:rPr>
            </w:pPr>
          </w:p>
        </w:tc>
      </w:tr>
      <w:tr>
        <w:trPr>
          <w:trHeight w:val="510" w:hRule="atLeast"/>
        </w:trPr>
        <w:tc>
          <w:tcPr>
            <w:tcW w:w="2359" w:type="dxa"/>
            <w:vMerge w:val="restart"/>
          </w:tcPr>
          <w:p>
            <w:pPr>
              <w:pStyle w:val="TableParagraph"/>
              <w:spacing w:before="17"/>
              <w:rPr>
                <w:rFonts w:ascii="Microsoft JhengHei"/>
                <w:b/>
                <w:sz w:val="17"/>
              </w:rPr>
            </w:pPr>
          </w:p>
          <w:p>
            <w:pPr>
              <w:pStyle w:val="TableParagraph"/>
              <w:ind w:left="764"/>
              <w:rPr>
                <w:sz w:val="20"/>
              </w:rPr>
            </w:pPr>
            <w:r>
              <w:rPr>
                <w:sz w:val="20"/>
              </w:rPr>
              <w:t>联系方式</w:t>
            </w:r>
          </w:p>
        </w:tc>
        <w:tc>
          <w:tcPr>
            <w:tcW w:w="780" w:type="dxa"/>
          </w:tcPr>
          <w:p>
            <w:pPr>
              <w:pStyle w:val="TableParagraph"/>
              <w:spacing w:before="68"/>
              <w:ind w:left="66"/>
              <w:jc w:val="center"/>
              <w:rPr>
                <w:sz w:val="20"/>
              </w:rPr>
            </w:pPr>
            <w:r>
              <w:rPr>
                <w:sz w:val="20"/>
              </w:rPr>
              <w:t>联系人</w:t>
            </w:r>
          </w:p>
        </w:tc>
        <w:tc>
          <w:tcPr>
            <w:tcW w:w="2150" w:type="dxa"/>
            <w:gridSpan w:val="2"/>
          </w:tcPr>
          <w:p>
            <w:pPr>
              <w:pStyle w:val="TableParagraph"/>
              <w:rPr>
                <w:rFonts w:ascii="Times New Roman"/>
                <w:sz w:val="20"/>
              </w:rPr>
            </w:pPr>
          </w:p>
        </w:tc>
        <w:tc>
          <w:tcPr>
            <w:tcW w:w="1292" w:type="dxa"/>
            <w:gridSpan w:val="2"/>
          </w:tcPr>
          <w:p>
            <w:pPr>
              <w:pStyle w:val="TableParagraph"/>
              <w:spacing w:before="68"/>
              <w:ind w:left="427"/>
              <w:rPr>
                <w:sz w:val="20"/>
              </w:rPr>
            </w:pPr>
            <w:r>
              <w:rPr>
                <w:sz w:val="20"/>
              </w:rPr>
              <w:t>电 话</w:t>
            </w:r>
          </w:p>
        </w:tc>
        <w:tc>
          <w:tcPr>
            <w:tcW w:w="2362" w:type="dxa"/>
            <w:gridSpan w:val="3"/>
          </w:tcPr>
          <w:p>
            <w:pPr>
              <w:pStyle w:val="TableParagraph"/>
              <w:rPr>
                <w:rFonts w:ascii="Times New Roman"/>
                <w:sz w:val="20"/>
              </w:rPr>
            </w:pPr>
          </w:p>
        </w:tc>
      </w:tr>
      <w:tr>
        <w:trPr>
          <w:trHeight w:val="520" w:hRule="atLeast"/>
        </w:trPr>
        <w:tc>
          <w:tcPr>
            <w:tcW w:w="2359" w:type="dxa"/>
            <w:vMerge/>
            <w:tcBorders>
              <w:top w:val="nil"/>
            </w:tcBorders>
          </w:tcPr>
          <w:p>
            <w:pPr>
              <w:rPr>
                <w:sz w:val="2"/>
                <w:szCs w:val="2"/>
              </w:rPr>
            </w:pPr>
          </w:p>
        </w:tc>
        <w:tc>
          <w:tcPr>
            <w:tcW w:w="780" w:type="dxa"/>
          </w:tcPr>
          <w:p>
            <w:pPr>
              <w:pStyle w:val="TableParagraph"/>
              <w:tabs>
                <w:tab w:pos="507" w:val="left" w:leader="none"/>
              </w:tabs>
              <w:spacing w:before="126"/>
              <w:ind w:left="75"/>
              <w:jc w:val="center"/>
              <w:rPr>
                <w:sz w:val="20"/>
              </w:rPr>
            </w:pPr>
            <w:r>
              <w:rPr>
                <w:sz w:val="20"/>
              </w:rPr>
              <w:t>传</w:t>
              <w:tab/>
              <w:t>真</w:t>
            </w:r>
          </w:p>
        </w:tc>
        <w:tc>
          <w:tcPr>
            <w:tcW w:w="2150" w:type="dxa"/>
            <w:gridSpan w:val="2"/>
          </w:tcPr>
          <w:p>
            <w:pPr>
              <w:pStyle w:val="TableParagraph"/>
              <w:rPr>
                <w:rFonts w:ascii="Times New Roman"/>
                <w:sz w:val="20"/>
              </w:rPr>
            </w:pPr>
          </w:p>
        </w:tc>
        <w:tc>
          <w:tcPr>
            <w:tcW w:w="1292" w:type="dxa"/>
            <w:gridSpan w:val="2"/>
          </w:tcPr>
          <w:p>
            <w:pPr>
              <w:pStyle w:val="TableParagraph"/>
              <w:spacing w:before="131"/>
              <w:ind w:left="422"/>
              <w:rPr>
                <w:sz w:val="20"/>
              </w:rPr>
            </w:pPr>
            <w:r>
              <w:rPr>
                <w:sz w:val="20"/>
              </w:rPr>
              <w:t>网 址</w:t>
            </w:r>
          </w:p>
        </w:tc>
        <w:tc>
          <w:tcPr>
            <w:tcW w:w="2362" w:type="dxa"/>
            <w:gridSpan w:val="3"/>
          </w:tcPr>
          <w:p>
            <w:pPr>
              <w:pStyle w:val="TableParagraph"/>
              <w:rPr>
                <w:rFonts w:ascii="Times New Roman"/>
                <w:sz w:val="20"/>
              </w:rPr>
            </w:pPr>
          </w:p>
        </w:tc>
      </w:tr>
      <w:tr>
        <w:trPr>
          <w:trHeight w:val="510" w:hRule="atLeast"/>
        </w:trPr>
        <w:tc>
          <w:tcPr>
            <w:tcW w:w="2359" w:type="dxa"/>
          </w:tcPr>
          <w:p>
            <w:pPr>
              <w:pStyle w:val="TableParagraph"/>
              <w:spacing w:before="67"/>
              <w:ind w:left="661"/>
              <w:rPr>
                <w:sz w:val="20"/>
              </w:rPr>
            </w:pPr>
            <w:r>
              <w:rPr>
                <w:sz w:val="20"/>
              </w:rPr>
              <w:t>法定代表人</w:t>
            </w:r>
          </w:p>
        </w:tc>
        <w:tc>
          <w:tcPr>
            <w:tcW w:w="780" w:type="dxa"/>
          </w:tcPr>
          <w:p>
            <w:pPr>
              <w:pStyle w:val="TableParagraph"/>
              <w:spacing w:before="67"/>
              <w:ind w:left="1"/>
              <w:jc w:val="center"/>
              <w:rPr>
                <w:sz w:val="20"/>
              </w:rPr>
            </w:pPr>
            <w:r>
              <w:rPr>
                <w:sz w:val="20"/>
              </w:rPr>
              <w:t>姓名</w:t>
            </w:r>
          </w:p>
        </w:tc>
        <w:tc>
          <w:tcPr>
            <w:tcW w:w="856" w:type="dxa"/>
          </w:tcPr>
          <w:p>
            <w:pPr>
              <w:pStyle w:val="TableParagraph"/>
              <w:rPr>
                <w:rFonts w:ascii="Times New Roman"/>
                <w:sz w:val="20"/>
              </w:rPr>
            </w:pPr>
          </w:p>
        </w:tc>
        <w:tc>
          <w:tcPr>
            <w:tcW w:w="1294" w:type="dxa"/>
          </w:tcPr>
          <w:p>
            <w:pPr>
              <w:pStyle w:val="TableParagraph"/>
              <w:spacing w:before="67"/>
              <w:ind w:left="224" w:right="224"/>
              <w:jc w:val="center"/>
              <w:rPr>
                <w:sz w:val="20"/>
              </w:rPr>
            </w:pPr>
            <w:r>
              <w:rPr>
                <w:sz w:val="20"/>
              </w:rPr>
              <w:t>技术职称</w:t>
            </w:r>
          </w:p>
        </w:tc>
        <w:tc>
          <w:tcPr>
            <w:tcW w:w="1292" w:type="dxa"/>
            <w:gridSpan w:val="2"/>
          </w:tcPr>
          <w:p>
            <w:pPr>
              <w:pStyle w:val="TableParagraph"/>
              <w:rPr>
                <w:rFonts w:ascii="Times New Roman"/>
                <w:sz w:val="20"/>
              </w:rPr>
            </w:pPr>
          </w:p>
        </w:tc>
        <w:tc>
          <w:tcPr>
            <w:tcW w:w="1120" w:type="dxa"/>
            <w:gridSpan w:val="2"/>
          </w:tcPr>
          <w:p>
            <w:pPr>
              <w:pStyle w:val="TableParagraph"/>
              <w:spacing w:before="69"/>
              <w:ind w:left="368"/>
              <w:rPr>
                <w:sz w:val="20"/>
              </w:rPr>
            </w:pPr>
            <w:r>
              <w:rPr>
                <w:sz w:val="20"/>
              </w:rPr>
              <w:t>电话</w:t>
            </w:r>
          </w:p>
        </w:tc>
        <w:tc>
          <w:tcPr>
            <w:tcW w:w="1242" w:type="dxa"/>
          </w:tcPr>
          <w:p>
            <w:pPr>
              <w:pStyle w:val="TableParagraph"/>
              <w:rPr>
                <w:rFonts w:ascii="Times New Roman"/>
                <w:sz w:val="20"/>
              </w:rPr>
            </w:pPr>
          </w:p>
        </w:tc>
      </w:tr>
      <w:tr>
        <w:trPr>
          <w:trHeight w:val="509" w:hRule="atLeast"/>
        </w:trPr>
        <w:tc>
          <w:tcPr>
            <w:tcW w:w="2359" w:type="dxa"/>
          </w:tcPr>
          <w:p>
            <w:pPr>
              <w:pStyle w:val="TableParagraph"/>
              <w:spacing w:before="68"/>
              <w:ind w:left="661"/>
              <w:rPr>
                <w:sz w:val="20"/>
              </w:rPr>
            </w:pPr>
            <w:r>
              <w:rPr>
                <w:sz w:val="20"/>
              </w:rPr>
              <w:t>技术负责人</w:t>
            </w:r>
          </w:p>
        </w:tc>
        <w:tc>
          <w:tcPr>
            <w:tcW w:w="780" w:type="dxa"/>
          </w:tcPr>
          <w:p>
            <w:pPr>
              <w:pStyle w:val="TableParagraph"/>
              <w:spacing w:before="68"/>
              <w:ind w:left="1"/>
              <w:jc w:val="center"/>
              <w:rPr>
                <w:sz w:val="20"/>
              </w:rPr>
            </w:pPr>
            <w:r>
              <w:rPr>
                <w:sz w:val="20"/>
              </w:rPr>
              <w:t>姓名</w:t>
            </w:r>
          </w:p>
        </w:tc>
        <w:tc>
          <w:tcPr>
            <w:tcW w:w="856" w:type="dxa"/>
          </w:tcPr>
          <w:p>
            <w:pPr>
              <w:pStyle w:val="TableParagraph"/>
              <w:rPr>
                <w:rFonts w:ascii="Times New Roman"/>
                <w:sz w:val="20"/>
              </w:rPr>
            </w:pPr>
          </w:p>
        </w:tc>
        <w:tc>
          <w:tcPr>
            <w:tcW w:w="1294" w:type="dxa"/>
          </w:tcPr>
          <w:p>
            <w:pPr>
              <w:pStyle w:val="TableParagraph"/>
              <w:spacing w:before="68"/>
              <w:ind w:left="224" w:right="224"/>
              <w:jc w:val="center"/>
              <w:rPr>
                <w:sz w:val="20"/>
              </w:rPr>
            </w:pPr>
            <w:r>
              <w:rPr>
                <w:sz w:val="20"/>
              </w:rPr>
              <w:t>技术职称</w:t>
            </w:r>
          </w:p>
        </w:tc>
        <w:tc>
          <w:tcPr>
            <w:tcW w:w="1292" w:type="dxa"/>
            <w:gridSpan w:val="2"/>
          </w:tcPr>
          <w:p>
            <w:pPr>
              <w:pStyle w:val="TableParagraph"/>
              <w:rPr>
                <w:rFonts w:ascii="Times New Roman"/>
                <w:sz w:val="20"/>
              </w:rPr>
            </w:pPr>
          </w:p>
        </w:tc>
        <w:tc>
          <w:tcPr>
            <w:tcW w:w="1120" w:type="dxa"/>
            <w:gridSpan w:val="2"/>
          </w:tcPr>
          <w:p>
            <w:pPr>
              <w:pStyle w:val="TableParagraph"/>
              <w:spacing w:before="70"/>
              <w:ind w:left="368"/>
              <w:rPr>
                <w:sz w:val="20"/>
              </w:rPr>
            </w:pPr>
            <w:r>
              <w:rPr>
                <w:sz w:val="20"/>
              </w:rPr>
              <w:t>电话</w:t>
            </w:r>
          </w:p>
        </w:tc>
        <w:tc>
          <w:tcPr>
            <w:tcW w:w="1242" w:type="dxa"/>
          </w:tcPr>
          <w:p>
            <w:pPr>
              <w:pStyle w:val="TableParagraph"/>
              <w:rPr>
                <w:rFonts w:ascii="Times New Roman"/>
                <w:sz w:val="20"/>
              </w:rPr>
            </w:pPr>
          </w:p>
        </w:tc>
      </w:tr>
      <w:tr>
        <w:trPr>
          <w:trHeight w:val="837" w:hRule="atLeast"/>
        </w:trPr>
        <w:tc>
          <w:tcPr>
            <w:tcW w:w="2359" w:type="dxa"/>
          </w:tcPr>
          <w:p>
            <w:pPr>
              <w:pStyle w:val="TableParagraph"/>
              <w:spacing w:before="29"/>
              <w:ind w:left="44" w:right="235"/>
              <w:jc w:val="center"/>
              <w:rPr>
                <w:sz w:val="20"/>
              </w:rPr>
            </w:pPr>
            <w:r>
              <w:rPr>
                <w:sz w:val="20"/>
              </w:rPr>
              <w:t>质量管理体系证书</w:t>
            </w:r>
          </w:p>
          <w:p>
            <w:pPr>
              <w:pStyle w:val="TableParagraph"/>
              <w:spacing w:before="161"/>
              <w:ind w:left="44" w:right="237"/>
              <w:jc w:val="center"/>
              <w:rPr>
                <w:sz w:val="20"/>
              </w:rPr>
            </w:pPr>
            <w:r>
              <w:rPr>
                <w:sz w:val="20"/>
              </w:rPr>
              <w:t>（如有）</w:t>
            </w:r>
          </w:p>
        </w:tc>
        <w:tc>
          <w:tcPr>
            <w:tcW w:w="6584" w:type="dxa"/>
            <w:gridSpan w:val="8"/>
          </w:tcPr>
          <w:p>
            <w:pPr>
              <w:pStyle w:val="TableParagraph"/>
              <w:spacing w:before="2"/>
              <w:rPr>
                <w:rFonts w:ascii="Microsoft JhengHei"/>
                <w:b/>
                <w:sz w:val="12"/>
              </w:rPr>
            </w:pPr>
          </w:p>
          <w:p>
            <w:pPr>
              <w:pStyle w:val="TableParagraph"/>
              <w:spacing w:before="1"/>
              <w:ind w:left="2605"/>
              <w:rPr>
                <w:sz w:val="20"/>
              </w:rPr>
            </w:pPr>
            <w:r>
              <w:rPr>
                <w:sz w:val="20"/>
              </w:rPr>
              <w:t>类型：等级：证书号：</w:t>
            </w:r>
          </w:p>
        </w:tc>
      </w:tr>
      <w:tr>
        <w:trPr>
          <w:trHeight w:val="508" w:hRule="atLeast"/>
        </w:trPr>
        <w:tc>
          <w:tcPr>
            <w:tcW w:w="2359" w:type="dxa"/>
          </w:tcPr>
          <w:p>
            <w:pPr>
              <w:pStyle w:val="TableParagraph"/>
              <w:spacing w:before="160"/>
              <w:ind w:left="664"/>
              <w:rPr>
                <w:sz w:val="20"/>
              </w:rPr>
            </w:pPr>
            <w:r>
              <w:rPr>
                <w:sz w:val="20"/>
              </w:rPr>
              <w:t>营业执照号</w:t>
            </w:r>
          </w:p>
        </w:tc>
        <w:tc>
          <w:tcPr>
            <w:tcW w:w="2930" w:type="dxa"/>
            <w:gridSpan w:val="3"/>
          </w:tcPr>
          <w:p>
            <w:pPr>
              <w:pStyle w:val="TableParagraph"/>
              <w:rPr>
                <w:rFonts w:ascii="Times New Roman"/>
                <w:sz w:val="20"/>
              </w:rPr>
            </w:pPr>
          </w:p>
        </w:tc>
        <w:tc>
          <w:tcPr>
            <w:tcW w:w="3654" w:type="dxa"/>
            <w:gridSpan w:val="5"/>
          </w:tcPr>
          <w:p>
            <w:pPr>
              <w:pStyle w:val="TableParagraph"/>
              <w:spacing w:before="160"/>
              <w:ind w:left="1420"/>
              <w:rPr>
                <w:sz w:val="20"/>
              </w:rPr>
            </w:pPr>
            <w:r>
              <w:rPr>
                <w:sz w:val="20"/>
              </w:rPr>
              <w:t>员工总人数：</w:t>
            </w:r>
          </w:p>
        </w:tc>
      </w:tr>
      <w:tr>
        <w:trPr>
          <w:trHeight w:val="821" w:hRule="atLeast"/>
        </w:trPr>
        <w:tc>
          <w:tcPr>
            <w:tcW w:w="2359" w:type="dxa"/>
          </w:tcPr>
          <w:p>
            <w:pPr>
              <w:pStyle w:val="TableParagraph"/>
              <w:spacing w:before="6"/>
              <w:rPr>
                <w:rFonts w:ascii="Microsoft JhengHei"/>
                <w:b/>
                <w:sz w:val="21"/>
              </w:rPr>
            </w:pPr>
          </w:p>
          <w:p>
            <w:pPr>
              <w:pStyle w:val="TableParagraph"/>
              <w:spacing w:before="1"/>
              <w:ind w:left="764"/>
              <w:rPr>
                <w:sz w:val="20"/>
              </w:rPr>
            </w:pPr>
            <w:r>
              <w:rPr>
                <w:sz w:val="20"/>
              </w:rPr>
              <w:t>注册资本</w:t>
            </w:r>
          </w:p>
        </w:tc>
        <w:tc>
          <w:tcPr>
            <w:tcW w:w="2930" w:type="dxa"/>
            <w:gridSpan w:val="3"/>
          </w:tcPr>
          <w:p>
            <w:pPr>
              <w:pStyle w:val="TableParagraph"/>
              <w:rPr>
                <w:rFonts w:ascii="Times New Roman"/>
                <w:sz w:val="20"/>
              </w:rPr>
            </w:pPr>
          </w:p>
        </w:tc>
        <w:tc>
          <w:tcPr>
            <w:tcW w:w="417" w:type="dxa"/>
            <w:vMerge w:val="restart"/>
          </w:tcPr>
          <w:p>
            <w:pPr>
              <w:pStyle w:val="TableParagraph"/>
              <w:rPr>
                <w:rFonts w:ascii="Microsoft JhengHei"/>
                <w:b/>
                <w:sz w:val="20"/>
              </w:rPr>
            </w:pPr>
          </w:p>
          <w:p>
            <w:pPr>
              <w:pStyle w:val="TableParagraph"/>
              <w:rPr>
                <w:rFonts w:ascii="Microsoft JhengHei"/>
                <w:b/>
                <w:sz w:val="20"/>
              </w:rPr>
            </w:pPr>
          </w:p>
          <w:p>
            <w:pPr>
              <w:pStyle w:val="TableParagraph"/>
              <w:spacing w:before="8"/>
              <w:rPr>
                <w:rFonts w:ascii="Microsoft JhengHei"/>
                <w:b/>
                <w:sz w:val="25"/>
              </w:rPr>
            </w:pPr>
          </w:p>
          <w:p>
            <w:pPr>
              <w:pStyle w:val="TableParagraph"/>
              <w:ind w:left="103"/>
              <w:rPr>
                <w:sz w:val="21"/>
              </w:rPr>
            </w:pPr>
            <w:r>
              <w:rPr>
                <w:w w:val="99"/>
                <w:sz w:val="21"/>
              </w:rPr>
              <w:t>其</w:t>
            </w:r>
          </w:p>
          <w:p>
            <w:pPr>
              <w:pStyle w:val="TableParagraph"/>
              <w:spacing w:before="11"/>
              <w:rPr>
                <w:rFonts w:ascii="Microsoft JhengHei"/>
                <w:b/>
                <w:sz w:val="19"/>
              </w:rPr>
            </w:pPr>
          </w:p>
          <w:p>
            <w:pPr>
              <w:pStyle w:val="TableParagraph"/>
              <w:ind w:left="134"/>
              <w:rPr>
                <w:sz w:val="20"/>
              </w:rPr>
            </w:pPr>
            <w:r>
              <w:rPr>
                <w:w w:val="99"/>
                <w:sz w:val="20"/>
              </w:rPr>
              <w:t>中</w:t>
            </w:r>
          </w:p>
        </w:tc>
        <w:tc>
          <w:tcPr>
            <w:tcW w:w="1708" w:type="dxa"/>
            <w:gridSpan w:val="2"/>
          </w:tcPr>
          <w:p>
            <w:pPr>
              <w:pStyle w:val="TableParagraph"/>
              <w:spacing w:before="11"/>
              <w:rPr>
                <w:rFonts w:ascii="Microsoft JhengHei"/>
                <w:b/>
                <w:sz w:val="12"/>
              </w:rPr>
            </w:pPr>
          </w:p>
          <w:p>
            <w:pPr>
              <w:pStyle w:val="TableParagraph"/>
              <w:ind w:left="281"/>
              <w:rPr>
                <w:sz w:val="20"/>
              </w:rPr>
            </w:pPr>
            <w:r>
              <w:rPr>
                <w:sz w:val="20"/>
              </w:rPr>
              <w:t>高级职称员</w:t>
            </w:r>
          </w:p>
        </w:tc>
        <w:tc>
          <w:tcPr>
            <w:tcW w:w="1529" w:type="dxa"/>
            <w:gridSpan w:val="2"/>
          </w:tcPr>
          <w:p>
            <w:pPr>
              <w:pStyle w:val="TableParagraph"/>
              <w:rPr>
                <w:rFonts w:ascii="Times New Roman"/>
                <w:sz w:val="20"/>
              </w:rPr>
            </w:pPr>
          </w:p>
        </w:tc>
      </w:tr>
      <w:tr>
        <w:trPr>
          <w:trHeight w:val="821" w:hRule="atLeast"/>
        </w:trPr>
        <w:tc>
          <w:tcPr>
            <w:tcW w:w="2359" w:type="dxa"/>
          </w:tcPr>
          <w:p>
            <w:pPr>
              <w:pStyle w:val="TableParagraph"/>
              <w:spacing w:before="8"/>
              <w:rPr>
                <w:rFonts w:ascii="Microsoft JhengHei"/>
                <w:b/>
                <w:sz w:val="21"/>
              </w:rPr>
            </w:pPr>
          </w:p>
          <w:p>
            <w:pPr>
              <w:pStyle w:val="TableParagraph"/>
              <w:spacing w:before="1"/>
              <w:ind w:left="767"/>
              <w:rPr>
                <w:sz w:val="20"/>
              </w:rPr>
            </w:pPr>
            <w:r>
              <w:rPr>
                <w:sz w:val="20"/>
              </w:rPr>
              <w:t>成立日期</w:t>
            </w:r>
          </w:p>
        </w:tc>
        <w:tc>
          <w:tcPr>
            <w:tcW w:w="2930" w:type="dxa"/>
            <w:gridSpan w:val="3"/>
          </w:tcPr>
          <w:p>
            <w:pPr>
              <w:pStyle w:val="TableParagraph"/>
              <w:rPr>
                <w:rFonts w:ascii="Times New Roman"/>
                <w:sz w:val="20"/>
              </w:rPr>
            </w:pPr>
          </w:p>
        </w:tc>
        <w:tc>
          <w:tcPr>
            <w:tcW w:w="417" w:type="dxa"/>
            <w:vMerge/>
            <w:tcBorders>
              <w:top w:val="nil"/>
            </w:tcBorders>
          </w:tcPr>
          <w:p>
            <w:pPr>
              <w:rPr>
                <w:sz w:val="2"/>
                <w:szCs w:val="2"/>
              </w:rPr>
            </w:pPr>
          </w:p>
        </w:tc>
        <w:tc>
          <w:tcPr>
            <w:tcW w:w="1708" w:type="dxa"/>
            <w:gridSpan w:val="2"/>
          </w:tcPr>
          <w:p>
            <w:pPr>
              <w:pStyle w:val="TableParagraph"/>
              <w:spacing w:before="11"/>
              <w:rPr>
                <w:rFonts w:ascii="Microsoft JhengHei"/>
                <w:b/>
                <w:sz w:val="12"/>
              </w:rPr>
            </w:pPr>
          </w:p>
          <w:p>
            <w:pPr>
              <w:pStyle w:val="TableParagraph"/>
              <w:ind w:left="185"/>
              <w:rPr>
                <w:sz w:val="20"/>
              </w:rPr>
            </w:pPr>
            <w:r>
              <w:rPr>
                <w:sz w:val="20"/>
              </w:rPr>
              <w:t>中级职称人员</w:t>
            </w:r>
          </w:p>
        </w:tc>
        <w:tc>
          <w:tcPr>
            <w:tcW w:w="1529" w:type="dxa"/>
            <w:gridSpan w:val="2"/>
          </w:tcPr>
          <w:p>
            <w:pPr>
              <w:pStyle w:val="TableParagraph"/>
              <w:rPr>
                <w:rFonts w:ascii="Times New Roman"/>
                <w:sz w:val="20"/>
              </w:rPr>
            </w:pPr>
          </w:p>
        </w:tc>
      </w:tr>
      <w:tr>
        <w:trPr>
          <w:trHeight w:val="821" w:hRule="atLeast"/>
        </w:trPr>
        <w:tc>
          <w:tcPr>
            <w:tcW w:w="2359" w:type="dxa"/>
          </w:tcPr>
          <w:p>
            <w:pPr>
              <w:pStyle w:val="TableParagraph"/>
              <w:spacing w:before="10"/>
              <w:rPr>
                <w:rFonts w:ascii="Microsoft JhengHei"/>
                <w:b/>
                <w:sz w:val="12"/>
              </w:rPr>
            </w:pPr>
          </w:p>
          <w:p>
            <w:pPr>
              <w:pStyle w:val="TableParagraph"/>
              <w:ind w:left="256"/>
              <w:rPr>
                <w:sz w:val="20"/>
              </w:rPr>
            </w:pPr>
            <w:r>
              <w:rPr>
                <w:sz w:val="20"/>
              </w:rPr>
              <w:t>基本账户开户银行</w:t>
            </w:r>
          </w:p>
        </w:tc>
        <w:tc>
          <w:tcPr>
            <w:tcW w:w="2930" w:type="dxa"/>
            <w:gridSpan w:val="3"/>
          </w:tcPr>
          <w:p>
            <w:pPr>
              <w:pStyle w:val="TableParagraph"/>
              <w:rPr>
                <w:rFonts w:ascii="Times New Roman"/>
                <w:sz w:val="20"/>
              </w:rPr>
            </w:pPr>
          </w:p>
        </w:tc>
        <w:tc>
          <w:tcPr>
            <w:tcW w:w="417" w:type="dxa"/>
            <w:vMerge/>
            <w:tcBorders>
              <w:top w:val="nil"/>
            </w:tcBorders>
          </w:tcPr>
          <w:p>
            <w:pPr>
              <w:rPr>
                <w:sz w:val="2"/>
                <w:szCs w:val="2"/>
              </w:rPr>
            </w:pPr>
          </w:p>
        </w:tc>
        <w:tc>
          <w:tcPr>
            <w:tcW w:w="1708" w:type="dxa"/>
            <w:gridSpan w:val="2"/>
          </w:tcPr>
          <w:p>
            <w:pPr>
              <w:pStyle w:val="TableParagraph"/>
              <w:spacing w:before="10"/>
              <w:rPr>
                <w:rFonts w:ascii="Microsoft JhengHei"/>
                <w:b/>
                <w:sz w:val="12"/>
              </w:rPr>
            </w:pPr>
          </w:p>
          <w:p>
            <w:pPr>
              <w:pStyle w:val="TableParagraph"/>
              <w:ind w:left="178"/>
              <w:rPr>
                <w:sz w:val="20"/>
              </w:rPr>
            </w:pPr>
            <w:r>
              <w:rPr>
                <w:sz w:val="20"/>
              </w:rPr>
              <w:t>技术人员数量</w:t>
            </w:r>
          </w:p>
        </w:tc>
        <w:tc>
          <w:tcPr>
            <w:tcW w:w="1529" w:type="dxa"/>
            <w:gridSpan w:val="2"/>
          </w:tcPr>
          <w:p>
            <w:pPr>
              <w:pStyle w:val="TableParagraph"/>
              <w:rPr>
                <w:rFonts w:ascii="Times New Roman"/>
                <w:sz w:val="20"/>
              </w:rPr>
            </w:pPr>
          </w:p>
        </w:tc>
      </w:tr>
      <w:tr>
        <w:trPr>
          <w:trHeight w:val="821" w:hRule="atLeast"/>
        </w:trPr>
        <w:tc>
          <w:tcPr>
            <w:tcW w:w="2359" w:type="dxa"/>
          </w:tcPr>
          <w:p>
            <w:pPr>
              <w:pStyle w:val="TableParagraph"/>
              <w:spacing w:before="12"/>
              <w:rPr>
                <w:rFonts w:ascii="Microsoft JhengHei"/>
                <w:b/>
                <w:sz w:val="12"/>
              </w:rPr>
            </w:pPr>
          </w:p>
          <w:p>
            <w:pPr>
              <w:pStyle w:val="TableParagraph"/>
              <w:ind w:left="256"/>
              <w:rPr>
                <w:sz w:val="20"/>
              </w:rPr>
            </w:pPr>
            <w:r>
              <w:rPr>
                <w:sz w:val="20"/>
              </w:rPr>
              <w:t>基本账户银行账号</w:t>
            </w:r>
          </w:p>
        </w:tc>
        <w:tc>
          <w:tcPr>
            <w:tcW w:w="2930" w:type="dxa"/>
            <w:gridSpan w:val="3"/>
          </w:tcPr>
          <w:p>
            <w:pPr>
              <w:pStyle w:val="TableParagraph"/>
              <w:rPr>
                <w:rFonts w:ascii="Times New Roman"/>
                <w:sz w:val="20"/>
              </w:rPr>
            </w:pPr>
          </w:p>
        </w:tc>
        <w:tc>
          <w:tcPr>
            <w:tcW w:w="417" w:type="dxa"/>
            <w:vMerge/>
            <w:tcBorders>
              <w:top w:val="nil"/>
            </w:tcBorders>
          </w:tcPr>
          <w:p>
            <w:pPr>
              <w:rPr>
                <w:sz w:val="2"/>
                <w:szCs w:val="2"/>
              </w:rPr>
            </w:pPr>
          </w:p>
        </w:tc>
        <w:tc>
          <w:tcPr>
            <w:tcW w:w="1708" w:type="dxa"/>
            <w:gridSpan w:val="2"/>
          </w:tcPr>
          <w:p>
            <w:pPr>
              <w:pStyle w:val="TableParagraph"/>
              <w:spacing w:before="12"/>
              <w:rPr>
                <w:rFonts w:ascii="Microsoft JhengHei"/>
                <w:b/>
                <w:sz w:val="12"/>
              </w:rPr>
            </w:pPr>
          </w:p>
          <w:p>
            <w:pPr>
              <w:pStyle w:val="TableParagraph"/>
              <w:ind w:left="178"/>
              <w:rPr>
                <w:sz w:val="20"/>
              </w:rPr>
            </w:pPr>
            <w:r>
              <w:rPr>
                <w:sz w:val="20"/>
              </w:rPr>
              <w:t>各类注册人员</w:t>
            </w:r>
          </w:p>
        </w:tc>
        <w:tc>
          <w:tcPr>
            <w:tcW w:w="1529" w:type="dxa"/>
            <w:gridSpan w:val="2"/>
          </w:tcPr>
          <w:p>
            <w:pPr>
              <w:pStyle w:val="TableParagraph"/>
              <w:rPr>
                <w:rFonts w:ascii="Times New Roman"/>
                <w:sz w:val="20"/>
              </w:rPr>
            </w:pPr>
          </w:p>
        </w:tc>
      </w:tr>
      <w:tr>
        <w:trPr>
          <w:trHeight w:val="576" w:hRule="atLeast"/>
        </w:trPr>
        <w:tc>
          <w:tcPr>
            <w:tcW w:w="2359" w:type="dxa"/>
          </w:tcPr>
          <w:p>
            <w:pPr>
              <w:pStyle w:val="TableParagraph"/>
              <w:spacing w:before="157"/>
              <w:ind w:left="767"/>
              <w:rPr>
                <w:sz w:val="20"/>
              </w:rPr>
            </w:pPr>
            <w:r>
              <w:rPr>
                <w:sz w:val="20"/>
              </w:rPr>
              <w:t>经营范围</w:t>
            </w:r>
          </w:p>
        </w:tc>
        <w:tc>
          <w:tcPr>
            <w:tcW w:w="6584" w:type="dxa"/>
            <w:gridSpan w:val="8"/>
          </w:tcPr>
          <w:p>
            <w:pPr>
              <w:pStyle w:val="TableParagraph"/>
              <w:rPr>
                <w:rFonts w:ascii="Times New Roman"/>
                <w:sz w:val="20"/>
              </w:rPr>
            </w:pPr>
          </w:p>
        </w:tc>
      </w:tr>
      <w:tr>
        <w:trPr>
          <w:trHeight w:val="1893" w:hRule="atLeast"/>
        </w:trPr>
        <w:tc>
          <w:tcPr>
            <w:tcW w:w="2359" w:type="dxa"/>
          </w:tcPr>
          <w:p>
            <w:pPr>
              <w:pStyle w:val="TableParagraph"/>
              <w:spacing w:before="1"/>
              <w:rPr>
                <w:rFonts w:ascii="Microsoft JhengHei"/>
                <w:b/>
                <w:sz w:val="16"/>
              </w:rPr>
            </w:pPr>
          </w:p>
          <w:p>
            <w:pPr>
              <w:pStyle w:val="TableParagraph"/>
              <w:spacing w:line="242" w:lineRule="auto"/>
              <w:ind w:left="44" w:right="48"/>
              <w:jc w:val="center"/>
              <w:rPr>
                <w:sz w:val="20"/>
              </w:rPr>
            </w:pPr>
            <w:r>
              <w:rPr>
                <w:w w:val="95"/>
                <w:sz w:val="20"/>
              </w:rPr>
              <w:t>投标人关联企业情况（包括但不限于与投标人法定</w:t>
            </w:r>
            <w:r>
              <w:rPr>
                <w:sz w:val="20"/>
              </w:rPr>
              <w:t>代表人为同一人或 者存</w:t>
            </w:r>
            <w:r>
              <w:rPr>
                <w:w w:val="95"/>
                <w:sz w:val="20"/>
              </w:rPr>
              <w:t>在控股、管理关系的不同</w:t>
            </w:r>
            <w:r>
              <w:rPr>
                <w:sz w:val="20"/>
              </w:rPr>
              <w:t>单位）</w:t>
            </w:r>
          </w:p>
        </w:tc>
        <w:tc>
          <w:tcPr>
            <w:tcW w:w="6584" w:type="dxa"/>
            <w:gridSpan w:val="8"/>
          </w:tcPr>
          <w:p>
            <w:pPr>
              <w:pStyle w:val="TableParagraph"/>
              <w:rPr>
                <w:rFonts w:ascii="Times New Roman"/>
                <w:sz w:val="20"/>
              </w:rPr>
            </w:pPr>
          </w:p>
        </w:tc>
      </w:tr>
      <w:tr>
        <w:trPr>
          <w:trHeight w:val="626" w:hRule="atLeast"/>
        </w:trPr>
        <w:tc>
          <w:tcPr>
            <w:tcW w:w="2359" w:type="dxa"/>
          </w:tcPr>
          <w:p>
            <w:pPr>
              <w:pStyle w:val="TableParagraph"/>
              <w:spacing w:before="15"/>
              <w:rPr>
                <w:rFonts w:ascii="Microsoft JhengHei"/>
                <w:b/>
                <w:sz w:val="9"/>
              </w:rPr>
            </w:pPr>
          </w:p>
          <w:p>
            <w:pPr>
              <w:pStyle w:val="TableParagraph"/>
              <w:ind w:left="44" w:right="43"/>
              <w:jc w:val="center"/>
              <w:rPr>
                <w:sz w:val="20"/>
              </w:rPr>
            </w:pPr>
            <w:r>
              <w:rPr>
                <w:sz w:val="20"/>
              </w:rPr>
              <w:t>备注</w:t>
            </w:r>
          </w:p>
        </w:tc>
        <w:tc>
          <w:tcPr>
            <w:tcW w:w="6584" w:type="dxa"/>
            <w:gridSpan w:val="8"/>
          </w:tcPr>
          <w:p>
            <w:pPr>
              <w:pStyle w:val="TableParagraph"/>
              <w:rPr>
                <w:rFonts w:ascii="Times New Roman"/>
                <w:sz w:val="20"/>
              </w:rPr>
            </w:pPr>
          </w:p>
        </w:tc>
      </w:tr>
    </w:tbl>
    <w:p>
      <w:pPr>
        <w:pStyle w:val="BodyText"/>
        <w:rPr>
          <w:rFonts w:ascii="Microsoft JhengHei"/>
          <w:b/>
          <w:sz w:val="19"/>
        </w:rPr>
      </w:pPr>
    </w:p>
    <w:p>
      <w:pPr>
        <w:pStyle w:val="BodyText"/>
        <w:spacing w:before="78"/>
        <w:ind w:left="864"/>
      </w:pPr>
      <w:r>
        <w:rPr/>
        <w:t>注：投标人应根据投标人须知第</w:t>
      </w:r>
      <w:r>
        <w:rPr>
          <w:rFonts w:ascii="Times New Roman" w:eastAsia="Times New Roman"/>
        </w:rPr>
        <w:t>3.5.1 </w:t>
      </w:r>
      <w:r>
        <w:rPr/>
        <w:t>项的要求在本表后附相关证明材料。</w:t>
      </w:r>
    </w:p>
    <w:p>
      <w:pPr>
        <w:spacing w:after="0"/>
        <w:sectPr>
          <w:type w:val="continuous"/>
          <w:pgSz w:w="11910" w:h="16840"/>
          <w:pgMar w:top="1580" w:bottom="280" w:left="1300" w:right="500"/>
        </w:sectPr>
      </w:pPr>
    </w:p>
    <w:p>
      <w:pPr>
        <w:pStyle w:val="BodyText"/>
        <w:spacing w:before="5"/>
        <w:rPr>
          <w:sz w:val="8"/>
        </w:rPr>
      </w:pPr>
    </w:p>
    <w:p>
      <w:pPr>
        <w:pStyle w:val="Heading3"/>
        <w:spacing w:before="56"/>
        <w:ind w:left="1152"/>
      </w:pPr>
      <w:r>
        <w:rPr/>
        <w:t>投标人关联企业情况（无控股、管理关系）承诺书</w:t>
      </w:r>
    </w:p>
    <w:p>
      <w:pPr>
        <w:pStyle w:val="BodyText"/>
        <w:rPr>
          <w:b/>
        </w:rPr>
      </w:pPr>
    </w:p>
    <w:p>
      <w:pPr>
        <w:pStyle w:val="BodyText"/>
        <w:spacing w:before="12"/>
        <w:rPr>
          <w:b/>
          <w:sz w:val="22"/>
        </w:rPr>
      </w:pPr>
    </w:p>
    <w:p>
      <w:pPr>
        <w:pStyle w:val="BodyText"/>
        <w:tabs>
          <w:tab w:pos="1891" w:val="left" w:leader="none"/>
        </w:tabs>
        <w:spacing w:before="77"/>
        <w:ind w:left="528"/>
      </w:pPr>
      <w:r>
        <w:rPr>
          <w:rFonts w:ascii="Times New Roman" w:eastAsia="Times New Roman"/>
          <w:w w:val="99"/>
          <w:u w:val="single"/>
        </w:rPr>
        <w:t> </w:t>
      </w:r>
      <w:r>
        <w:rPr>
          <w:rFonts w:ascii="Times New Roman" w:eastAsia="Times New Roman"/>
          <w:u w:val="single"/>
        </w:rPr>
        <w:tab/>
      </w:r>
      <w:r>
        <w:rPr>
          <w:spacing w:val="7"/>
        </w:rPr>
        <w:t>（招标人名称</w:t>
      </w:r>
      <w:r>
        <w:rPr/>
        <w:t>）：</w:t>
      </w:r>
    </w:p>
    <w:p>
      <w:pPr>
        <w:pStyle w:val="BodyText"/>
        <w:rPr>
          <w:sz w:val="22"/>
        </w:rPr>
      </w:pPr>
    </w:p>
    <w:p>
      <w:pPr>
        <w:pStyle w:val="BodyText"/>
        <w:spacing w:before="7"/>
        <w:rPr>
          <w:sz w:val="21"/>
        </w:rPr>
      </w:pPr>
    </w:p>
    <w:p>
      <w:pPr>
        <w:pStyle w:val="BodyText"/>
        <w:ind w:left="535"/>
      </w:pPr>
      <w:r>
        <w:rPr/>
        <w:t>我公司在此郑重承诺不存在以下情形：</w:t>
      </w:r>
    </w:p>
    <w:p>
      <w:pPr>
        <w:pStyle w:val="BodyText"/>
        <w:spacing w:before="152"/>
        <w:ind w:left="550"/>
      </w:pPr>
      <w:r>
        <w:rPr/>
        <w:t>1.与招标人存在利害关系可能影响招标公正性的法人、其他组织或者个人，参加投标；</w:t>
      </w:r>
    </w:p>
    <w:p>
      <w:pPr>
        <w:pStyle w:val="BodyText"/>
        <w:spacing w:line="367" w:lineRule="auto" w:before="163"/>
        <w:ind w:left="115" w:right="1185" w:firstLine="422"/>
      </w:pPr>
      <w:r>
        <w:rPr/>
        <w:t>2.单位负责人为同一人或存在控股、管理关系的不同单位，同时参加同一标段投标或者未划分标 段的同一招标项目投标。</w:t>
      </w:r>
    </w:p>
    <w:p>
      <w:pPr>
        <w:pStyle w:val="BodyText"/>
        <w:spacing w:line="396" w:lineRule="auto" w:before="30"/>
        <w:ind w:left="538" w:right="2063"/>
      </w:pPr>
      <w:r>
        <w:rPr/>
        <w:t>如果本承诺与事实不符，愿意接受政府监管等部门给予相关处罚并承担法律责任。特此承诺。</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18"/>
        </w:rPr>
      </w:pPr>
    </w:p>
    <w:p>
      <w:pPr>
        <w:pStyle w:val="BodyText"/>
        <w:tabs>
          <w:tab w:pos="6809" w:val="left" w:leader="none"/>
        </w:tabs>
        <w:ind w:left="4215"/>
      </w:pPr>
      <w:r>
        <w:rPr>
          <w:spacing w:val="10"/>
        </w:rPr>
        <w:t>投标人</w:t>
      </w:r>
      <w:r>
        <w:rPr>
          <w:spacing w:val="-8"/>
        </w:rPr>
        <w:t>：</w:t>
      </w:r>
      <w:r>
        <w:rPr>
          <w:spacing w:val="-8"/>
          <w:u w:val="single"/>
        </w:rPr>
        <w:t> </w:t>
        <w:tab/>
      </w:r>
      <w:r>
        <w:rPr>
          <w:spacing w:val="-5"/>
        </w:rPr>
        <w:t>（</w:t>
      </w:r>
      <w:r>
        <w:rPr>
          <w:spacing w:val="10"/>
        </w:rPr>
        <w:t>盖单位章</w:t>
      </w:r>
      <w:r>
        <w:rPr/>
        <w:t>）</w:t>
      </w:r>
    </w:p>
    <w:p>
      <w:pPr>
        <w:pStyle w:val="BodyText"/>
        <w:tabs>
          <w:tab w:pos="6979" w:val="left" w:leader="none"/>
        </w:tabs>
        <w:spacing w:before="164"/>
        <w:ind w:left="3636"/>
      </w:pPr>
      <w:r>
        <w:rPr>
          <w:spacing w:val="7"/>
        </w:rPr>
        <w:t>法</w:t>
      </w:r>
      <w:r>
        <w:rPr>
          <w:spacing w:val="10"/>
        </w:rPr>
        <w:t>定</w:t>
      </w:r>
      <w:r>
        <w:rPr>
          <w:spacing w:val="7"/>
        </w:rPr>
        <w:t>代</w:t>
      </w:r>
      <w:r>
        <w:rPr>
          <w:spacing w:val="10"/>
        </w:rPr>
        <w:t>表</w:t>
      </w:r>
      <w:r>
        <w:rPr>
          <w:spacing w:val="7"/>
        </w:rPr>
        <w:t>人</w:t>
      </w:r>
      <w:r>
        <w:rPr>
          <w:spacing w:val="10"/>
        </w:rPr>
        <w:t>或</w:t>
      </w:r>
      <w:r>
        <w:rPr>
          <w:spacing w:val="7"/>
        </w:rPr>
        <w:t>其</w:t>
      </w:r>
      <w:r>
        <w:rPr>
          <w:spacing w:val="10"/>
        </w:rPr>
        <w:t>委</w:t>
      </w:r>
      <w:r>
        <w:rPr>
          <w:spacing w:val="7"/>
        </w:rPr>
        <w:t>托</w:t>
      </w:r>
      <w:r>
        <w:rPr>
          <w:spacing w:val="10"/>
        </w:rPr>
        <w:t>代</w:t>
      </w:r>
      <w:r>
        <w:rPr>
          <w:spacing w:val="7"/>
        </w:rPr>
        <w:t>理</w:t>
      </w:r>
      <w:r>
        <w:rPr>
          <w:spacing w:val="10"/>
        </w:rPr>
        <w:t>人</w:t>
      </w:r>
      <w:r>
        <w:rPr>
          <w:spacing w:val="-5"/>
        </w:rPr>
        <w:t>：</w:t>
      </w:r>
      <w:r>
        <w:rPr>
          <w:spacing w:val="-5"/>
          <w:u w:val="single"/>
        </w:rPr>
        <w:t> </w:t>
        <w:tab/>
      </w:r>
      <w:r>
        <w:rPr>
          <w:spacing w:val="-5"/>
        </w:rPr>
        <w:t>（</w:t>
      </w:r>
      <w:r>
        <w:rPr>
          <w:spacing w:val="7"/>
        </w:rPr>
        <w:t>签</w:t>
      </w:r>
      <w:r>
        <w:rPr>
          <w:spacing w:val="10"/>
        </w:rPr>
        <w:t>字</w:t>
      </w:r>
      <w:r>
        <w:rPr>
          <w:spacing w:val="7"/>
        </w:rPr>
        <w:t>或</w:t>
      </w:r>
      <w:r>
        <w:rPr>
          <w:spacing w:val="10"/>
        </w:rPr>
        <w:t>盖</w:t>
      </w:r>
      <w:r>
        <w:rPr>
          <w:spacing w:val="7"/>
        </w:rPr>
        <w:t>章</w:t>
      </w:r>
      <w:r>
        <w:rPr/>
        <w:t>）</w:t>
      </w:r>
    </w:p>
    <w:p>
      <w:pPr>
        <w:pStyle w:val="BodyText"/>
        <w:spacing w:before="3"/>
        <w:rPr>
          <w:sz w:val="23"/>
        </w:rPr>
      </w:pPr>
    </w:p>
    <w:p>
      <w:pPr>
        <w:pStyle w:val="BodyText"/>
        <w:tabs>
          <w:tab w:pos="6430" w:val="left" w:leader="none"/>
          <w:tab w:pos="7097" w:val="left" w:leader="none"/>
        </w:tabs>
        <w:spacing w:before="1"/>
        <w:ind w:left="5801"/>
      </w:pPr>
      <w:r>
        <w:rPr/>
        <w:t>年</w:t>
        <w:tab/>
        <w:t>月</w:t>
        <w:tab/>
        <w:t>日</w:t>
      </w:r>
    </w:p>
    <w:p>
      <w:pPr>
        <w:spacing w:after="0"/>
        <w:sectPr>
          <w:pgSz w:w="11910" w:h="16840"/>
          <w:pgMar w:header="0" w:footer="770" w:top="1580" w:bottom="960" w:left="1300" w:right="500"/>
        </w:sectPr>
      </w:pPr>
    </w:p>
    <w:p>
      <w:pPr>
        <w:pStyle w:val="Heading7"/>
        <w:spacing w:before="47"/>
        <w:ind w:left="651"/>
        <w:rPr>
          <w:rFonts w:ascii="宋体" w:eastAsia="宋体" w:hint="eastAsia"/>
        </w:rPr>
      </w:pPr>
      <w:r>
        <w:rPr>
          <w:rFonts w:ascii="宋体" w:eastAsia="宋体" w:hint="eastAsia"/>
        </w:rPr>
        <w:t>（二）财务状况</w:t>
      </w:r>
    </w:p>
    <w:p>
      <w:pPr>
        <w:pStyle w:val="BodyText"/>
        <w:spacing w:before="5"/>
        <w:rPr>
          <w:sz w:val="13"/>
        </w:rPr>
      </w:pPr>
    </w:p>
    <w:p>
      <w:pPr>
        <w:pStyle w:val="Heading8"/>
        <w:spacing w:before="66"/>
        <w:ind w:left="3056"/>
      </w:pPr>
      <w:r>
        <w:rPr/>
        <w:t>投标人履行合同财务能力的承诺书</w:t>
      </w:r>
    </w:p>
    <w:p>
      <w:pPr>
        <w:pStyle w:val="BodyText"/>
        <w:rPr>
          <w:b/>
          <w:sz w:val="24"/>
        </w:rPr>
      </w:pPr>
    </w:p>
    <w:p>
      <w:pPr>
        <w:pStyle w:val="BodyText"/>
        <w:spacing w:before="11"/>
        <w:rPr>
          <w:b/>
          <w:sz w:val="24"/>
        </w:rPr>
      </w:pPr>
    </w:p>
    <w:p>
      <w:pPr>
        <w:pStyle w:val="Heading9"/>
        <w:tabs>
          <w:tab w:pos="1915" w:val="left" w:leader="none"/>
        </w:tabs>
        <w:ind w:firstLine="0"/>
      </w:pPr>
      <w:r>
        <w:rPr/>
        <w:t>致:</w:t>
      </w:r>
      <w:r>
        <w:rPr>
          <w:u w:val="single"/>
        </w:rPr>
        <w:t> </w:t>
        <w:tab/>
      </w:r>
      <w:r>
        <w:rPr/>
        <w:t>(招标人名称)</w:t>
      </w:r>
    </w:p>
    <w:p>
      <w:pPr>
        <w:pStyle w:val="Heading9"/>
        <w:tabs>
          <w:tab w:pos="3175" w:val="left" w:leader="none"/>
        </w:tabs>
        <w:spacing w:line="364" w:lineRule="auto" w:before="158"/>
        <w:ind w:right="1049" w:firstLine="420"/>
      </w:pPr>
      <w:r>
        <w:rPr/>
        <w:t>我方在参加</w:t>
      </w:r>
      <w:r>
        <w:rPr>
          <w:u w:val="single"/>
        </w:rPr>
        <w:t> </w:t>
        <w:tab/>
      </w:r>
      <w:r>
        <w:rPr/>
        <w:t>(项目名称) 施工投标活动中，对我单位财务状况做以下承诺:</w:t>
      </w:r>
    </w:p>
    <w:p>
      <w:pPr>
        <w:pStyle w:val="Heading9"/>
        <w:spacing w:before="2"/>
        <w:ind w:left="535" w:firstLine="0"/>
      </w:pPr>
      <w:r>
        <w:rPr/>
        <w:t>(一) 我方具有良好的商业信誉和健全的财务会计制度；</w:t>
      </w:r>
    </w:p>
    <w:p>
      <w:pPr>
        <w:pStyle w:val="Heading9"/>
        <w:spacing w:line="362" w:lineRule="auto" w:before="158"/>
        <w:ind w:right="1020" w:firstLine="420"/>
      </w:pPr>
      <w:r>
        <w:rPr/>
        <w:t>(二) (二)我方承诺所有财务报表和财务信息的真实性、准确性、完整性、未经偏离或虚假陈述；</w:t>
      </w:r>
    </w:p>
    <w:p>
      <w:pPr>
        <w:pStyle w:val="Heading9"/>
        <w:spacing w:before="5"/>
        <w:ind w:left="535" w:firstLine="0"/>
      </w:pPr>
      <w:r>
        <w:rPr/>
        <w:t>(三)我方具有依法缴纳税收和社会保障资金的良好记录；</w:t>
      </w:r>
    </w:p>
    <w:p>
      <w:pPr>
        <w:pStyle w:val="Heading9"/>
        <w:spacing w:line="364" w:lineRule="auto" w:before="158"/>
        <w:ind w:left="535" w:right="5249" w:firstLine="0"/>
      </w:pPr>
      <w:r>
        <w:rPr/>
        <w:t>(四)我方具有履行合同财务能力的承诺。特此承诺!</w:t>
      </w:r>
    </w:p>
    <w:p>
      <w:pPr>
        <w:pStyle w:val="BodyText"/>
        <w:rPr>
          <w:sz w:val="24"/>
        </w:rPr>
      </w:pPr>
    </w:p>
    <w:p>
      <w:pPr>
        <w:pStyle w:val="BodyText"/>
        <w:rPr>
          <w:sz w:val="24"/>
        </w:rPr>
      </w:pPr>
    </w:p>
    <w:p>
      <w:pPr>
        <w:pStyle w:val="Heading9"/>
        <w:tabs>
          <w:tab w:pos="7987" w:val="left" w:leader="none"/>
          <w:tab w:pos="8467" w:val="left" w:leader="none"/>
        </w:tabs>
        <w:spacing w:line="364" w:lineRule="auto" w:before="202"/>
        <w:ind w:left="4027" w:right="917" w:firstLine="1680"/>
      </w:pPr>
      <w:r>
        <w:rPr/>
        <w:t>投标人:</w:t>
      </w:r>
      <w:r>
        <w:rPr>
          <w:u w:val="single"/>
        </w:rPr>
        <w:t> </w:t>
        <w:tab/>
      </w:r>
      <w:r>
        <w:rPr/>
        <w:t>(盖单位章) 法定代表人或其委托代理人:</w:t>
      </w:r>
      <w:r>
        <w:rPr>
          <w:u w:val="single"/>
        </w:rPr>
        <w:t> </w:t>
        <w:tab/>
        <w:tab/>
      </w:r>
      <w:r>
        <w:rPr/>
        <w:t>(签字)</w:t>
      </w:r>
    </w:p>
    <w:p>
      <w:pPr>
        <w:pStyle w:val="Heading9"/>
        <w:tabs>
          <w:tab w:pos="7027" w:val="left" w:leader="none"/>
          <w:tab w:pos="7987" w:val="left" w:leader="none"/>
          <w:tab w:pos="8947" w:val="left" w:leader="none"/>
        </w:tabs>
        <w:spacing w:line="306" w:lineRule="exact"/>
        <w:ind w:left="6308" w:firstLine="0"/>
      </w:pPr>
      <w:r>
        <w:rPr>
          <w:rFonts w:ascii="Times New Roman" w:eastAsia="Times New Roman"/>
          <w:u w:val="single"/>
        </w:rPr>
        <w:t> </w:t>
        <w:tab/>
      </w:r>
      <w:r>
        <w:rPr/>
        <w:t>年</w:t>
      </w:r>
      <w:r>
        <w:rPr>
          <w:u w:val="single"/>
        </w:rPr>
        <w:t> </w:t>
        <w:tab/>
      </w:r>
      <w:r>
        <w:rPr/>
        <w:t>月</w:t>
      </w:r>
      <w:r>
        <w:rPr>
          <w:u w:val="single"/>
        </w:rPr>
        <w:t> </w:t>
        <w:tab/>
      </w:r>
      <w:r>
        <w:rPr/>
        <w:t>日</w:t>
      </w:r>
    </w:p>
    <w:p>
      <w:pPr>
        <w:spacing w:after="0" w:line="306" w:lineRule="exact"/>
        <w:sectPr>
          <w:pgSz w:w="11910" w:h="16840"/>
          <w:pgMar w:header="0" w:footer="770" w:top="1540" w:bottom="960" w:left="1300" w:right="500"/>
        </w:sectPr>
      </w:pPr>
    </w:p>
    <w:p>
      <w:pPr>
        <w:pStyle w:val="Heading7"/>
        <w:spacing w:before="34"/>
        <w:ind w:left="66" w:right="4885"/>
        <w:jc w:val="center"/>
        <w:rPr>
          <w:rFonts w:ascii="宋体" w:eastAsia="宋体" w:hint="eastAsia"/>
        </w:rPr>
      </w:pPr>
      <w:r>
        <w:rPr>
          <w:rFonts w:ascii="宋体" w:eastAsia="宋体" w:hint="eastAsia"/>
        </w:rPr>
        <w:t>（三）拟委任的主要人员汇总表</w:t>
      </w:r>
    </w:p>
    <w:tbl>
      <w:tblPr>
        <w:tblW w:w="0" w:type="auto"/>
        <w:jc w:val="left"/>
        <w:tblInd w:w="1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08"/>
        <w:gridCol w:w="1167"/>
        <w:gridCol w:w="1579"/>
        <w:gridCol w:w="1437"/>
        <w:gridCol w:w="837"/>
        <w:gridCol w:w="1028"/>
        <w:gridCol w:w="1341"/>
      </w:tblGrid>
      <w:tr>
        <w:trPr>
          <w:trHeight w:val="457" w:hRule="atLeast"/>
        </w:trPr>
        <w:tc>
          <w:tcPr>
            <w:tcW w:w="1508" w:type="dxa"/>
            <w:vMerge w:val="restart"/>
          </w:tcPr>
          <w:p>
            <w:pPr>
              <w:pStyle w:val="TableParagraph"/>
              <w:rPr>
                <w:sz w:val="20"/>
              </w:rPr>
            </w:pPr>
          </w:p>
          <w:p>
            <w:pPr>
              <w:pStyle w:val="TableParagraph"/>
              <w:rPr>
                <w:sz w:val="23"/>
              </w:rPr>
            </w:pPr>
          </w:p>
          <w:p>
            <w:pPr>
              <w:pStyle w:val="TableParagraph"/>
              <w:spacing w:before="1"/>
              <w:ind w:left="120"/>
              <w:rPr>
                <w:sz w:val="20"/>
              </w:rPr>
            </w:pPr>
            <w:r>
              <w:rPr>
                <w:sz w:val="20"/>
              </w:rPr>
              <w:t>本项目任职</w:t>
            </w:r>
          </w:p>
        </w:tc>
        <w:tc>
          <w:tcPr>
            <w:tcW w:w="1167" w:type="dxa"/>
            <w:vMerge w:val="restart"/>
          </w:tcPr>
          <w:p>
            <w:pPr>
              <w:pStyle w:val="TableParagraph"/>
              <w:spacing w:before="7"/>
              <w:rPr>
                <w:sz w:val="23"/>
              </w:rPr>
            </w:pPr>
          </w:p>
          <w:p>
            <w:pPr>
              <w:pStyle w:val="TableParagraph"/>
              <w:ind w:left="288"/>
              <w:rPr>
                <w:sz w:val="20"/>
              </w:rPr>
            </w:pPr>
            <w:r>
              <w:rPr>
                <w:sz w:val="20"/>
              </w:rPr>
              <w:t>姓名</w:t>
            </w:r>
          </w:p>
        </w:tc>
        <w:tc>
          <w:tcPr>
            <w:tcW w:w="1579" w:type="dxa"/>
            <w:vMerge w:val="restart"/>
          </w:tcPr>
          <w:p>
            <w:pPr>
              <w:pStyle w:val="TableParagraph"/>
              <w:spacing w:before="7"/>
              <w:rPr>
                <w:sz w:val="23"/>
              </w:rPr>
            </w:pPr>
          </w:p>
          <w:p>
            <w:pPr>
              <w:pStyle w:val="TableParagraph"/>
              <w:ind w:left="289"/>
              <w:rPr>
                <w:sz w:val="20"/>
              </w:rPr>
            </w:pPr>
            <w:r>
              <w:rPr>
                <w:sz w:val="20"/>
              </w:rPr>
              <w:t>专业</w:t>
            </w:r>
          </w:p>
        </w:tc>
        <w:tc>
          <w:tcPr>
            <w:tcW w:w="3302" w:type="dxa"/>
            <w:gridSpan w:val="3"/>
          </w:tcPr>
          <w:p>
            <w:pPr>
              <w:pStyle w:val="TableParagraph"/>
              <w:spacing w:before="38"/>
              <w:ind w:left="402"/>
              <w:rPr>
                <w:sz w:val="20"/>
              </w:rPr>
            </w:pPr>
            <w:r>
              <w:rPr>
                <w:sz w:val="20"/>
              </w:rPr>
              <w:t>职业资格证明或特种作业证</w:t>
            </w:r>
          </w:p>
        </w:tc>
        <w:tc>
          <w:tcPr>
            <w:tcW w:w="1341" w:type="dxa"/>
          </w:tcPr>
          <w:p>
            <w:pPr>
              <w:pStyle w:val="TableParagraph"/>
              <w:spacing w:before="38"/>
              <w:ind w:left="447" w:right="448"/>
              <w:jc w:val="center"/>
              <w:rPr>
                <w:sz w:val="20"/>
              </w:rPr>
            </w:pPr>
            <w:r>
              <w:rPr>
                <w:sz w:val="20"/>
              </w:rPr>
              <w:t>备注</w:t>
            </w:r>
          </w:p>
        </w:tc>
      </w:tr>
      <w:tr>
        <w:trPr>
          <w:trHeight w:val="527" w:hRule="atLeast"/>
        </w:trPr>
        <w:tc>
          <w:tcPr>
            <w:tcW w:w="1508" w:type="dxa"/>
            <w:vMerge/>
            <w:tcBorders>
              <w:top w:val="nil"/>
            </w:tcBorders>
          </w:tcPr>
          <w:p>
            <w:pPr>
              <w:rPr>
                <w:sz w:val="2"/>
                <w:szCs w:val="2"/>
              </w:rPr>
            </w:pPr>
          </w:p>
        </w:tc>
        <w:tc>
          <w:tcPr>
            <w:tcW w:w="1167" w:type="dxa"/>
            <w:vMerge/>
            <w:tcBorders>
              <w:top w:val="nil"/>
            </w:tcBorders>
          </w:tcPr>
          <w:p>
            <w:pPr>
              <w:rPr>
                <w:sz w:val="2"/>
                <w:szCs w:val="2"/>
              </w:rPr>
            </w:pPr>
          </w:p>
        </w:tc>
        <w:tc>
          <w:tcPr>
            <w:tcW w:w="1579" w:type="dxa"/>
            <w:vMerge/>
            <w:tcBorders>
              <w:top w:val="nil"/>
            </w:tcBorders>
          </w:tcPr>
          <w:p>
            <w:pPr>
              <w:rPr>
                <w:sz w:val="2"/>
                <w:szCs w:val="2"/>
              </w:rPr>
            </w:pPr>
          </w:p>
        </w:tc>
        <w:tc>
          <w:tcPr>
            <w:tcW w:w="1437" w:type="dxa"/>
          </w:tcPr>
          <w:p>
            <w:pPr>
              <w:pStyle w:val="TableParagraph"/>
              <w:spacing w:before="125"/>
              <w:ind w:left="371"/>
              <w:rPr>
                <w:sz w:val="20"/>
              </w:rPr>
            </w:pPr>
            <w:r>
              <w:rPr>
                <w:sz w:val="20"/>
              </w:rPr>
              <w:t>证书名称</w:t>
            </w:r>
          </w:p>
        </w:tc>
        <w:tc>
          <w:tcPr>
            <w:tcW w:w="837" w:type="dxa"/>
          </w:tcPr>
          <w:p>
            <w:pPr>
              <w:pStyle w:val="TableParagraph"/>
              <w:spacing w:before="128"/>
              <w:ind w:left="156"/>
              <w:rPr>
                <w:sz w:val="20"/>
              </w:rPr>
            </w:pPr>
            <w:r>
              <w:rPr>
                <w:sz w:val="20"/>
              </w:rPr>
              <w:t>级别</w:t>
            </w:r>
          </w:p>
        </w:tc>
        <w:tc>
          <w:tcPr>
            <w:tcW w:w="1028" w:type="dxa"/>
          </w:tcPr>
          <w:p>
            <w:pPr>
              <w:pStyle w:val="TableParagraph"/>
              <w:spacing w:before="128"/>
              <w:ind w:left="233"/>
              <w:rPr>
                <w:sz w:val="20"/>
              </w:rPr>
            </w:pPr>
            <w:r>
              <w:rPr>
                <w:sz w:val="20"/>
              </w:rPr>
              <w:t>证号</w:t>
            </w:r>
          </w:p>
        </w:tc>
        <w:tc>
          <w:tcPr>
            <w:tcW w:w="1341" w:type="dxa"/>
          </w:tcPr>
          <w:p>
            <w:pPr>
              <w:pStyle w:val="TableParagraph"/>
              <w:rPr>
                <w:rFonts w:ascii="Times New Roman"/>
                <w:sz w:val="20"/>
              </w:rPr>
            </w:pPr>
          </w:p>
        </w:tc>
      </w:tr>
      <w:tr>
        <w:trPr>
          <w:trHeight w:val="452" w:hRule="atLeast"/>
        </w:trPr>
        <w:tc>
          <w:tcPr>
            <w:tcW w:w="1508" w:type="dxa"/>
          </w:tcPr>
          <w:p>
            <w:pPr>
              <w:pStyle w:val="TableParagraph"/>
              <w:rPr>
                <w:rFonts w:ascii="Times New Roman"/>
                <w:sz w:val="20"/>
              </w:rPr>
            </w:pPr>
          </w:p>
        </w:tc>
        <w:tc>
          <w:tcPr>
            <w:tcW w:w="1167" w:type="dxa"/>
          </w:tcPr>
          <w:p>
            <w:pPr>
              <w:pStyle w:val="TableParagraph"/>
              <w:rPr>
                <w:rFonts w:ascii="Times New Roman"/>
                <w:sz w:val="20"/>
              </w:rPr>
            </w:pPr>
          </w:p>
        </w:tc>
        <w:tc>
          <w:tcPr>
            <w:tcW w:w="1579" w:type="dxa"/>
          </w:tcPr>
          <w:p>
            <w:pPr>
              <w:pStyle w:val="TableParagraph"/>
              <w:rPr>
                <w:rFonts w:ascii="Times New Roman"/>
                <w:sz w:val="20"/>
              </w:rPr>
            </w:pPr>
          </w:p>
        </w:tc>
        <w:tc>
          <w:tcPr>
            <w:tcW w:w="1437" w:type="dxa"/>
          </w:tcPr>
          <w:p>
            <w:pPr>
              <w:pStyle w:val="TableParagraph"/>
              <w:rPr>
                <w:rFonts w:ascii="Times New Roman"/>
                <w:sz w:val="20"/>
              </w:rPr>
            </w:pPr>
          </w:p>
        </w:tc>
        <w:tc>
          <w:tcPr>
            <w:tcW w:w="837" w:type="dxa"/>
          </w:tcPr>
          <w:p>
            <w:pPr>
              <w:pStyle w:val="TableParagraph"/>
              <w:rPr>
                <w:rFonts w:ascii="Times New Roman"/>
                <w:sz w:val="20"/>
              </w:rPr>
            </w:pPr>
          </w:p>
        </w:tc>
        <w:tc>
          <w:tcPr>
            <w:tcW w:w="1028" w:type="dxa"/>
          </w:tcPr>
          <w:p>
            <w:pPr>
              <w:pStyle w:val="TableParagraph"/>
              <w:rPr>
                <w:rFonts w:ascii="Times New Roman"/>
                <w:sz w:val="20"/>
              </w:rPr>
            </w:pPr>
          </w:p>
        </w:tc>
        <w:tc>
          <w:tcPr>
            <w:tcW w:w="1341" w:type="dxa"/>
          </w:tcPr>
          <w:p>
            <w:pPr>
              <w:pStyle w:val="TableParagraph"/>
              <w:rPr>
                <w:rFonts w:ascii="Times New Roman"/>
                <w:sz w:val="20"/>
              </w:rPr>
            </w:pPr>
          </w:p>
        </w:tc>
      </w:tr>
      <w:tr>
        <w:trPr>
          <w:trHeight w:val="450" w:hRule="atLeast"/>
        </w:trPr>
        <w:tc>
          <w:tcPr>
            <w:tcW w:w="1508" w:type="dxa"/>
          </w:tcPr>
          <w:p>
            <w:pPr>
              <w:pStyle w:val="TableParagraph"/>
              <w:rPr>
                <w:rFonts w:ascii="Times New Roman"/>
                <w:sz w:val="20"/>
              </w:rPr>
            </w:pPr>
          </w:p>
        </w:tc>
        <w:tc>
          <w:tcPr>
            <w:tcW w:w="1167" w:type="dxa"/>
          </w:tcPr>
          <w:p>
            <w:pPr>
              <w:pStyle w:val="TableParagraph"/>
              <w:rPr>
                <w:rFonts w:ascii="Times New Roman"/>
                <w:sz w:val="20"/>
              </w:rPr>
            </w:pPr>
          </w:p>
        </w:tc>
        <w:tc>
          <w:tcPr>
            <w:tcW w:w="1579" w:type="dxa"/>
          </w:tcPr>
          <w:p>
            <w:pPr>
              <w:pStyle w:val="TableParagraph"/>
              <w:rPr>
                <w:rFonts w:ascii="Times New Roman"/>
                <w:sz w:val="20"/>
              </w:rPr>
            </w:pPr>
          </w:p>
        </w:tc>
        <w:tc>
          <w:tcPr>
            <w:tcW w:w="1437" w:type="dxa"/>
          </w:tcPr>
          <w:p>
            <w:pPr>
              <w:pStyle w:val="TableParagraph"/>
              <w:rPr>
                <w:rFonts w:ascii="Times New Roman"/>
                <w:sz w:val="20"/>
              </w:rPr>
            </w:pPr>
          </w:p>
        </w:tc>
        <w:tc>
          <w:tcPr>
            <w:tcW w:w="837" w:type="dxa"/>
          </w:tcPr>
          <w:p>
            <w:pPr>
              <w:pStyle w:val="TableParagraph"/>
              <w:rPr>
                <w:rFonts w:ascii="Times New Roman"/>
                <w:sz w:val="20"/>
              </w:rPr>
            </w:pPr>
          </w:p>
        </w:tc>
        <w:tc>
          <w:tcPr>
            <w:tcW w:w="1028" w:type="dxa"/>
          </w:tcPr>
          <w:p>
            <w:pPr>
              <w:pStyle w:val="TableParagraph"/>
              <w:rPr>
                <w:rFonts w:ascii="Times New Roman"/>
                <w:sz w:val="20"/>
              </w:rPr>
            </w:pPr>
          </w:p>
        </w:tc>
        <w:tc>
          <w:tcPr>
            <w:tcW w:w="1341" w:type="dxa"/>
          </w:tcPr>
          <w:p>
            <w:pPr>
              <w:pStyle w:val="TableParagraph"/>
              <w:rPr>
                <w:rFonts w:ascii="Times New Roman"/>
                <w:sz w:val="20"/>
              </w:rPr>
            </w:pPr>
          </w:p>
        </w:tc>
      </w:tr>
      <w:tr>
        <w:trPr>
          <w:trHeight w:val="452" w:hRule="atLeast"/>
        </w:trPr>
        <w:tc>
          <w:tcPr>
            <w:tcW w:w="1508" w:type="dxa"/>
          </w:tcPr>
          <w:p>
            <w:pPr>
              <w:pStyle w:val="TableParagraph"/>
              <w:rPr>
                <w:rFonts w:ascii="Times New Roman"/>
                <w:sz w:val="20"/>
              </w:rPr>
            </w:pPr>
          </w:p>
        </w:tc>
        <w:tc>
          <w:tcPr>
            <w:tcW w:w="1167" w:type="dxa"/>
          </w:tcPr>
          <w:p>
            <w:pPr>
              <w:pStyle w:val="TableParagraph"/>
              <w:rPr>
                <w:rFonts w:ascii="Times New Roman"/>
                <w:sz w:val="20"/>
              </w:rPr>
            </w:pPr>
          </w:p>
        </w:tc>
        <w:tc>
          <w:tcPr>
            <w:tcW w:w="1579" w:type="dxa"/>
          </w:tcPr>
          <w:p>
            <w:pPr>
              <w:pStyle w:val="TableParagraph"/>
              <w:rPr>
                <w:rFonts w:ascii="Times New Roman"/>
                <w:sz w:val="20"/>
              </w:rPr>
            </w:pPr>
          </w:p>
        </w:tc>
        <w:tc>
          <w:tcPr>
            <w:tcW w:w="1437" w:type="dxa"/>
          </w:tcPr>
          <w:p>
            <w:pPr>
              <w:pStyle w:val="TableParagraph"/>
              <w:rPr>
                <w:rFonts w:ascii="Times New Roman"/>
                <w:sz w:val="20"/>
              </w:rPr>
            </w:pPr>
          </w:p>
        </w:tc>
        <w:tc>
          <w:tcPr>
            <w:tcW w:w="837" w:type="dxa"/>
          </w:tcPr>
          <w:p>
            <w:pPr>
              <w:pStyle w:val="TableParagraph"/>
              <w:rPr>
                <w:rFonts w:ascii="Times New Roman"/>
                <w:sz w:val="20"/>
              </w:rPr>
            </w:pPr>
          </w:p>
        </w:tc>
        <w:tc>
          <w:tcPr>
            <w:tcW w:w="1028" w:type="dxa"/>
          </w:tcPr>
          <w:p>
            <w:pPr>
              <w:pStyle w:val="TableParagraph"/>
              <w:rPr>
                <w:rFonts w:ascii="Times New Roman"/>
                <w:sz w:val="20"/>
              </w:rPr>
            </w:pPr>
          </w:p>
        </w:tc>
        <w:tc>
          <w:tcPr>
            <w:tcW w:w="1341" w:type="dxa"/>
          </w:tcPr>
          <w:p>
            <w:pPr>
              <w:pStyle w:val="TableParagraph"/>
              <w:rPr>
                <w:rFonts w:ascii="Times New Roman"/>
                <w:sz w:val="20"/>
              </w:rPr>
            </w:pPr>
          </w:p>
        </w:tc>
      </w:tr>
      <w:tr>
        <w:trPr>
          <w:trHeight w:val="451" w:hRule="atLeast"/>
        </w:trPr>
        <w:tc>
          <w:tcPr>
            <w:tcW w:w="1508" w:type="dxa"/>
          </w:tcPr>
          <w:p>
            <w:pPr>
              <w:pStyle w:val="TableParagraph"/>
              <w:rPr>
                <w:rFonts w:ascii="Times New Roman"/>
                <w:sz w:val="20"/>
              </w:rPr>
            </w:pPr>
          </w:p>
        </w:tc>
        <w:tc>
          <w:tcPr>
            <w:tcW w:w="1167" w:type="dxa"/>
          </w:tcPr>
          <w:p>
            <w:pPr>
              <w:pStyle w:val="TableParagraph"/>
              <w:rPr>
                <w:rFonts w:ascii="Times New Roman"/>
                <w:sz w:val="20"/>
              </w:rPr>
            </w:pPr>
          </w:p>
        </w:tc>
        <w:tc>
          <w:tcPr>
            <w:tcW w:w="1579" w:type="dxa"/>
          </w:tcPr>
          <w:p>
            <w:pPr>
              <w:pStyle w:val="TableParagraph"/>
              <w:rPr>
                <w:rFonts w:ascii="Times New Roman"/>
                <w:sz w:val="20"/>
              </w:rPr>
            </w:pPr>
          </w:p>
        </w:tc>
        <w:tc>
          <w:tcPr>
            <w:tcW w:w="1437" w:type="dxa"/>
          </w:tcPr>
          <w:p>
            <w:pPr>
              <w:pStyle w:val="TableParagraph"/>
              <w:rPr>
                <w:rFonts w:ascii="Times New Roman"/>
                <w:sz w:val="20"/>
              </w:rPr>
            </w:pPr>
          </w:p>
        </w:tc>
        <w:tc>
          <w:tcPr>
            <w:tcW w:w="837" w:type="dxa"/>
          </w:tcPr>
          <w:p>
            <w:pPr>
              <w:pStyle w:val="TableParagraph"/>
              <w:rPr>
                <w:rFonts w:ascii="Times New Roman"/>
                <w:sz w:val="20"/>
              </w:rPr>
            </w:pPr>
          </w:p>
        </w:tc>
        <w:tc>
          <w:tcPr>
            <w:tcW w:w="1028" w:type="dxa"/>
          </w:tcPr>
          <w:p>
            <w:pPr>
              <w:pStyle w:val="TableParagraph"/>
              <w:rPr>
                <w:rFonts w:ascii="Times New Roman"/>
                <w:sz w:val="20"/>
              </w:rPr>
            </w:pPr>
          </w:p>
        </w:tc>
        <w:tc>
          <w:tcPr>
            <w:tcW w:w="1341" w:type="dxa"/>
          </w:tcPr>
          <w:p>
            <w:pPr>
              <w:pStyle w:val="TableParagraph"/>
              <w:rPr>
                <w:rFonts w:ascii="Times New Roman"/>
                <w:sz w:val="20"/>
              </w:rPr>
            </w:pPr>
          </w:p>
        </w:tc>
      </w:tr>
      <w:tr>
        <w:trPr>
          <w:trHeight w:val="451" w:hRule="atLeast"/>
        </w:trPr>
        <w:tc>
          <w:tcPr>
            <w:tcW w:w="1508" w:type="dxa"/>
          </w:tcPr>
          <w:p>
            <w:pPr>
              <w:pStyle w:val="TableParagraph"/>
              <w:rPr>
                <w:rFonts w:ascii="Times New Roman"/>
                <w:sz w:val="20"/>
              </w:rPr>
            </w:pPr>
          </w:p>
        </w:tc>
        <w:tc>
          <w:tcPr>
            <w:tcW w:w="1167" w:type="dxa"/>
          </w:tcPr>
          <w:p>
            <w:pPr>
              <w:pStyle w:val="TableParagraph"/>
              <w:rPr>
                <w:rFonts w:ascii="Times New Roman"/>
                <w:sz w:val="20"/>
              </w:rPr>
            </w:pPr>
          </w:p>
        </w:tc>
        <w:tc>
          <w:tcPr>
            <w:tcW w:w="1579" w:type="dxa"/>
          </w:tcPr>
          <w:p>
            <w:pPr>
              <w:pStyle w:val="TableParagraph"/>
              <w:rPr>
                <w:rFonts w:ascii="Times New Roman"/>
                <w:sz w:val="20"/>
              </w:rPr>
            </w:pPr>
          </w:p>
        </w:tc>
        <w:tc>
          <w:tcPr>
            <w:tcW w:w="1437" w:type="dxa"/>
          </w:tcPr>
          <w:p>
            <w:pPr>
              <w:pStyle w:val="TableParagraph"/>
              <w:rPr>
                <w:rFonts w:ascii="Times New Roman"/>
                <w:sz w:val="20"/>
              </w:rPr>
            </w:pPr>
          </w:p>
        </w:tc>
        <w:tc>
          <w:tcPr>
            <w:tcW w:w="837" w:type="dxa"/>
          </w:tcPr>
          <w:p>
            <w:pPr>
              <w:pStyle w:val="TableParagraph"/>
              <w:rPr>
                <w:rFonts w:ascii="Times New Roman"/>
                <w:sz w:val="20"/>
              </w:rPr>
            </w:pPr>
          </w:p>
        </w:tc>
        <w:tc>
          <w:tcPr>
            <w:tcW w:w="1028" w:type="dxa"/>
          </w:tcPr>
          <w:p>
            <w:pPr>
              <w:pStyle w:val="TableParagraph"/>
              <w:rPr>
                <w:rFonts w:ascii="Times New Roman"/>
                <w:sz w:val="20"/>
              </w:rPr>
            </w:pPr>
          </w:p>
        </w:tc>
        <w:tc>
          <w:tcPr>
            <w:tcW w:w="1341" w:type="dxa"/>
          </w:tcPr>
          <w:p>
            <w:pPr>
              <w:pStyle w:val="TableParagraph"/>
              <w:rPr>
                <w:rFonts w:ascii="Times New Roman"/>
                <w:sz w:val="20"/>
              </w:rPr>
            </w:pPr>
          </w:p>
        </w:tc>
      </w:tr>
      <w:tr>
        <w:trPr>
          <w:trHeight w:val="450" w:hRule="atLeast"/>
        </w:trPr>
        <w:tc>
          <w:tcPr>
            <w:tcW w:w="1508" w:type="dxa"/>
          </w:tcPr>
          <w:p>
            <w:pPr>
              <w:pStyle w:val="TableParagraph"/>
              <w:rPr>
                <w:rFonts w:ascii="Times New Roman"/>
                <w:sz w:val="20"/>
              </w:rPr>
            </w:pPr>
          </w:p>
        </w:tc>
        <w:tc>
          <w:tcPr>
            <w:tcW w:w="1167" w:type="dxa"/>
          </w:tcPr>
          <w:p>
            <w:pPr>
              <w:pStyle w:val="TableParagraph"/>
              <w:rPr>
                <w:rFonts w:ascii="Times New Roman"/>
                <w:sz w:val="20"/>
              </w:rPr>
            </w:pPr>
          </w:p>
        </w:tc>
        <w:tc>
          <w:tcPr>
            <w:tcW w:w="1579" w:type="dxa"/>
          </w:tcPr>
          <w:p>
            <w:pPr>
              <w:pStyle w:val="TableParagraph"/>
              <w:rPr>
                <w:rFonts w:ascii="Times New Roman"/>
                <w:sz w:val="20"/>
              </w:rPr>
            </w:pPr>
          </w:p>
        </w:tc>
        <w:tc>
          <w:tcPr>
            <w:tcW w:w="1437" w:type="dxa"/>
          </w:tcPr>
          <w:p>
            <w:pPr>
              <w:pStyle w:val="TableParagraph"/>
              <w:rPr>
                <w:rFonts w:ascii="Times New Roman"/>
                <w:sz w:val="20"/>
              </w:rPr>
            </w:pPr>
          </w:p>
        </w:tc>
        <w:tc>
          <w:tcPr>
            <w:tcW w:w="837" w:type="dxa"/>
          </w:tcPr>
          <w:p>
            <w:pPr>
              <w:pStyle w:val="TableParagraph"/>
              <w:rPr>
                <w:rFonts w:ascii="Times New Roman"/>
                <w:sz w:val="20"/>
              </w:rPr>
            </w:pPr>
          </w:p>
        </w:tc>
        <w:tc>
          <w:tcPr>
            <w:tcW w:w="1028" w:type="dxa"/>
          </w:tcPr>
          <w:p>
            <w:pPr>
              <w:pStyle w:val="TableParagraph"/>
              <w:rPr>
                <w:rFonts w:ascii="Times New Roman"/>
                <w:sz w:val="20"/>
              </w:rPr>
            </w:pPr>
          </w:p>
        </w:tc>
        <w:tc>
          <w:tcPr>
            <w:tcW w:w="1341" w:type="dxa"/>
          </w:tcPr>
          <w:p>
            <w:pPr>
              <w:pStyle w:val="TableParagraph"/>
              <w:rPr>
                <w:rFonts w:ascii="Times New Roman"/>
                <w:sz w:val="20"/>
              </w:rPr>
            </w:pPr>
          </w:p>
        </w:tc>
      </w:tr>
      <w:tr>
        <w:trPr>
          <w:trHeight w:val="453" w:hRule="atLeast"/>
        </w:trPr>
        <w:tc>
          <w:tcPr>
            <w:tcW w:w="1508" w:type="dxa"/>
          </w:tcPr>
          <w:p>
            <w:pPr>
              <w:pStyle w:val="TableParagraph"/>
              <w:rPr>
                <w:rFonts w:ascii="Times New Roman"/>
                <w:sz w:val="20"/>
              </w:rPr>
            </w:pPr>
          </w:p>
        </w:tc>
        <w:tc>
          <w:tcPr>
            <w:tcW w:w="1167" w:type="dxa"/>
          </w:tcPr>
          <w:p>
            <w:pPr>
              <w:pStyle w:val="TableParagraph"/>
              <w:rPr>
                <w:rFonts w:ascii="Times New Roman"/>
                <w:sz w:val="20"/>
              </w:rPr>
            </w:pPr>
          </w:p>
        </w:tc>
        <w:tc>
          <w:tcPr>
            <w:tcW w:w="1579" w:type="dxa"/>
          </w:tcPr>
          <w:p>
            <w:pPr>
              <w:pStyle w:val="TableParagraph"/>
              <w:rPr>
                <w:rFonts w:ascii="Times New Roman"/>
                <w:sz w:val="20"/>
              </w:rPr>
            </w:pPr>
          </w:p>
        </w:tc>
        <w:tc>
          <w:tcPr>
            <w:tcW w:w="1437" w:type="dxa"/>
          </w:tcPr>
          <w:p>
            <w:pPr>
              <w:pStyle w:val="TableParagraph"/>
              <w:rPr>
                <w:rFonts w:ascii="Times New Roman"/>
                <w:sz w:val="20"/>
              </w:rPr>
            </w:pPr>
          </w:p>
        </w:tc>
        <w:tc>
          <w:tcPr>
            <w:tcW w:w="837" w:type="dxa"/>
          </w:tcPr>
          <w:p>
            <w:pPr>
              <w:pStyle w:val="TableParagraph"/>
              <w:rPr>
                <w:rFonts w:ascii="Times New Roman"/>
                <w:sz w:val="20"/>
              </w:rPr>
            </w:pPr>
          </w:p>
        </w:tc>
        <w:tc>
          <w:tcPr>
            <w:tcW w:w="1028" w:type="dxa"/>
          </w:tcPr>
          <w:p>
            <w:pPr>
              <w:pStyle w:val="TableParagraph"/>
              <w:rPr>
                <w:rFonts w:ascii="Times New Roman"/>
                <w:sz w:val="20"/>
              </w:rPr>
            </w:pPr>
          </w:p>
        </w:tc>
        <w:tc>
          <w:tcPr>
            <w:tcW w:w="1341" w:type="dxa"/>
          </w:tcPr>
          <w:p>
            <w:pPr>
              <w:pStyle w:val="TableParagraph"/>
              <w:rPr>
                <w:rFonts w:ascii="Times New Roman"/>
                <w:sz w:val="20"/>
              </w:rPr>
            </w:pPr>
          </w:p>
        </w:tc>
      </w:tr>
      <w:tr>
        <w:trPr>
          <w:trHeight w:val="450" w:hRule="atLeast"/>
        </w:trPr>
        <w:tc>
          <w:tcPr>
            <w:tcW w:w="1508" w:type="dxa"/>
          </w:tcPr>
          <w:p>
            <w:pPr>
              <w:pStyle w:val="TableParagraph"/>
              <w:rPr>
                <w:rFonts w:ascii="Times New Roman"/>
                <w:sz w:val="20"/>
              </w:rPr>
            </w:pPr>
          </w:p>
        </w:tc>
        <w:tc>
          <w:tcPr>
            <w:tcW w:w="1167" w:type="dxa"/>
          </w:tcPr>
          <w:p>
            <w:pPr>
              <w:pStyle w:val="TableParagraph"/>
              <w:rPr>
                <w:rFonts w:ascii="Times New Roman"/>
                <w:sz w:val="20"/>
              </w:rPr>
            </w:pPr>
          </w:p>
        </w:tc>
        <w:tc>
          <w:tcPr>
            <w:tcW w:w="1579" w:type="dxa"/>
          </w:tcPr>
          <w:p>
            <w:pPr>
              <w:pStyle w:val="TableParagraph"/>
              <w:rPr>
                <w:rFonts w:ascii="Times New Roman"/>
                <w:sz w:val="20"/>
              </w:rPr>
            </w:pPr>
          </w:p>
        </w:tc>
        <w:tc>
          <w:tcPr>
            <w:tcW w:w="1437" w:type="dxa"/>
          </w:tcPr>
          <w:p>
            <w:pPr>
              <w:pStyle w:val="TableParagraph"/>
              <w:rPr>
                <w:rFonts w:ascii="Times New Roman"/>
                <w:sz w:val="20"/>
              </w:rPr>
            </w:pPr>
          </w:p>
        </w:tc>
        <w:tc>
          <w:tcPr>
            <w:tcW w:w="837" w:type="dxa"/>
          </w:tcPr>
          <w:p>
            <w:pPr>
              <w:pStyle w:val="TableParagraph"/>
              <w:rPr>
                <w:rFonts w:ascii="Times New Roman"/>
                <w:sz w:val="20"/>
              </w:rPr>
            </w:pPr>
          </w:p>
        </w:tc>
        <w:tc>
          <w:tcPr>
            <w:tcW w:w="1028" w:type="dxa"/>
          </w:tcPr>
          <w:p>
            <w:pPr>
              <w:pStyle w:val="TableParagraph"/>
              <w:rPr>
                <w:rFonts w:ascii="Times New Roman"/>
                <w:sz w:val="20"/>
              </w:rPr>
            </w:pPr>
          </w:p>
        </w:tc>
        <w:tc>
          <w:tcPr>
            <w:tcW w:w="1341" w:type="dxa"/>
          </w:tcPr>
          <w:p>
            <w:pPr>
              <w:pStyle w:val="TableParagraph"/>
              <w:rPr>
                <w:rFonts w:ascii="Times New Roman"/>
                <w:sz w:val="20"/>
              </w:rPr>
            </w:pPr>
          </w:p>
        </w:tc>
      </w:tr>
      <w:tr>
        <w:trPr>
          <w:trHeight w:val="451" w:hRule="atLeast"/>
        </w:trPr>
        <w:tc>
          <w:tcPr>
            <w:tcW w:w="1508" w:type="dxa"/>
          </w:tcPr>
          <w:p>
            <w:pPr>
              <w:pStyle w:val="TableParagraph"/>
              <w:rPr>
                <w:rFonts w:ascii="Times New Roman"/>
                <w:sz w:val="20"/>
              </w:rPr>
            </w:pPr>
          </w:p>
        </w:tc>
        <w:tc>
          <w:tcPr>
            <w:tcW w:w="1167" w:type="dxa"/>
          </w:tcPr>
          <w:p>
            <w:pPr>
              <w:pStyle w:val="TableParagraph"/>
              <w:rPr>
                <w:rFonts w:ascii="Times New Roman"/>
                <w:sz w:val="20"/>
              </w:rPr>
            </w:pPr>
          </w:p>
        </w:tc>
        <w:tc>
          <w:tcPr>
            <w:tcW w:w="1579" w:type="dxa"/>
          </w:tcPr>
          <w:p>
            <w:pPr>
              <w:pStyle w:val="TableParagraph"/>
              <w:rPr>
                <w:rFonts w:ascii="Times New Roman"/>
                <w:sz w:val="20"/>
              </w:rPr>
            </w:pPr>
          </w:p>
        </w:tc>
        <w:tc>
          <w:tcPr>
            <w:tcW w:w="1437" w:type="dxa"/>
          </w:tcPr>
          <w:p>
            <w:pPr>
              <w:pStyle w:val="TableParagraph"/>
              <w:rPr>
                <w:rFonts w:ascii="Times New Roman"/>
                <w:sz w:val="20"/>
              </w:rPr>
            </w:pPr>
          </w:p>
        </w:tc>
        <w:tc>
          <w:tcPr>
            <w:tcW w:w="837" w:type="dxa"/>
          </w:tcPr>
          <w:p>
            <w:pPr>
              <w:pStyle w:val="TableParagraph"/>
              <w:rPr>
                <w:rFonts w:ascii="Times New Roman"/>
                <w:sz w:val="20"/>
              </w:rPr>
            </w:pPr>
          </w:p>
        </w:tc>
        <w:tc>
          <w:tcPr>
            <w:tcW w:w="1028" w:type="dxa"/>
          </w:tcPr>
          <w:p>
            <w:pPr>
              <w:pStyle w:val="TableParagraph"/>
              <w:rPr>
                <w:rFonts w:ascii="Times New Roman"/>
                <w:sz w:val="20"/>
              </w:rPr>
            </w:pPr>
          </w:p>
        </w:tc>
        <w:tc>
          <w:tcPr>
            <w:tcW w:w="1341" w:type="dxa"/>
          </w:tcPr>
          <w:p>
            <w:pPr>
              <w:pStyle w:val="TableParagraph"/>
              <w:rPr>
                <w:rFonts w:ascii="Times New Roman"/>
                <w:sz w:val="20"/>
              </w:rPr>
            </w:pPr>
          </w:p>
        </w:tc>
      </w:tr>
      <w:tr>
        <w:trPr>
          <w:trHeight w:val="450" w:hRule="atLeast"/>
        </w:trPr>
        <w:tc>
          <w:tcPr>
            <w:tcW w:w="1508" w:type="dxa"/>
          </w:tcPr>
          <w:p>
            <w:pPr>
              <w:pStyle w:val="TableParagraph"/>
              <w:rPr>
                <w:rFonts w:ascii="Times New Roman"/>
                <w:sz w:val="20"/>
              </w:rPr>
            </w:pPr>
          </w:p>
        </w:tc>
        <w:tc>
          <w:tcPr>
            <w:tcW w:w="1167" w:type="dxa"/>
          </w:tcPr>
          <w:p>
            <w:pPr>
              <w:pStyle w:val="TableParagraph"/>
              <w:rPr>
                <w:rFonts w:ascii="Times New Roman"/>
                <w:sz w:val="20"/>
              </w:rPr>
            </w:pPr>
          </w:p>
        </w:tc>
        <w:tc>
          <w:tcPr>
            <w:tcW w:w="1579" w:type="dxa"/>
          </w:tcPr>
          <w:p>
            <w:pPr>
              <w:pStyle w:val="TableParagraph"/>
              <w:rPr>
                <w:rFonts w:ascii="Times New Roman"/>
                <w:sz w:val="20"/>
              </w:rPr>
            </w:pPr>
          </w:p>
        </w:tc>
        <w:tc>
          <w:tcPr>
            <w:tcW w:w="1437" w:type="dxa"/>
          </w:tcPr>
          <w:p>
            <w:pPr>
              <w:pStyle w:val="TableParagraph"/>
              <w:rPr>
                <w:rFonts w:ascii="Times New Roman"/>
                <w:sz w:val="20"/>
              </w:rPr>
            </w:pPr>
          </w:p>
        </w:tc>
        <w:tc>
          <w:tcPr>
            <w:tcW w:w="837" w:type="dxa"/>
          </w:tcPr>
          <w:p>
            <w:pPr>
              <w:pStyle w:val="TableParagraph"/>
              <w:rPr>
                <w:rFonts w:ascii="Times New Roman"/>
                <w:sz w:val="20"/>
              </w:rPr>
            </w:pPr>
          </w:p>
        </w:tc>
        <w:tc>
          <w:tcPr>
            <w:tcW w:w="1028" w:type="dxa"/>
          </w:tcPr>
          <w:p>
            <w:pPr>
              <w:pStyle w:val="TableParagraph"/>
              <w:rPr>
                <w:rFonts w:ascii="Times New Roman"/>
                <w:sz w:val="20"/>
              </w:rPr>
            </w:pPr>
          </w:p>
        </w:tc>
        <w:tc>
          <w:tcPr>
            <w:tcW w:w="1341" w:type="dxa"/>
          </w:tcPr>
          <w:p>
            <w:pPr>
              <w:pStyle w:val="TableParagraph"/>
              <w:rPr>
                <w:rFonts w:ascii="Times New Roman"/>
                <w:sz w:val="20"/>
              </w:rPr>
            </w:pPr>
          </w:p>
        </w:tc>
      </w:tr>
      <w:tr>
        <w:trPr>
          <w:trHeight w:val="452" w:hRule="atLeast"/>
        </w:trPr>
        <w:tc>
          <w:tcPr>
            <w:tcW w:w="1508" w:type="dxa"/>
          </w:tcPr>
          <w:p>
            <w:pPr>
              <w:pStyle w:val="TableParagraph"/>
              <w:rPr>
                <w:rFonts w:ascii="Times New Roman"/>
                <w:sz w:val="20"/>
              </w:rPr>
            </w:pPr>
          </w:p>
        </w:tc>
        <w:tc>
          <w:tcPr>
            <w:tcW w:w="1167" w:type="dxa"/>
          </w:tcPr>
          <w:p>
            <w:pPr>
              <w:pStyle w:val="TableParagraph"/>
              <w:rPr>
                <w:rFonts w:ascii="Times New Roman"/>
                <w:sz w:val="20"/>
              </w:rPr>
            </w:pPr>
          </w:p>
        </w:tc>
        <w:tc>
          <w:tcPr>
            <w:tcW w:w="1579" w:type="dxa"/>
          </w:tcPr>
          <w:p>
            <w:pPr>
              <w:pStyle w:val="TableParagraph"/>
              <w:rPr>
                <w:rFonts w:ascii="Times New Roman"/>
                <w:sz w:val="20"/>
              </w:rPr>
            </w:pPr>
          </w:p>
        </w:tc>
        <w:tc>
          <w:tcPr>
            <w:tcW w:w="1437" w:type="dxa"/>
          </w:tcPr>
          <w:p>
            <w:pPr>
              <w:pStyle w:val="TableParagraph"/>
              <w:rPr>
                <w:rFonts w:ascii="Times New Roman"/>
                <w:sz w:val="20"/>
              </w:rPr>
            </w:pPr>
          </w:p>
        </w:tc>
        <w:tc>
          <w:tcPr>
            <w:tcW w:w="837" w:type="dxa"/>
          </w:tcPr>
          <w:p>
            <w:pPr>
              <w:pStyle w:val="TableParagraph"/>
              <w:rPr>
                <w:rFonts w:ascii="Times New Roman"/>
                <w:sz w:val="20"/>
              </w:rPr>
            </w:pPr>
          </w:p>
        </w:tc>
        <w:tc>
          <w:tcPr>
            <w:tcW w:w="1028" w:type="dxa"/>
          </w:tcPr>
          <w:p>
            <w:pPr>
              <w:pStyle w:val="TableParagraph"/>
              <w:rPr>
                <w:rFonts w:ascii="Times New Roman"/>
                <w:sz w:val="20"/>
              </w:rPr>
            </w:pPr>
          </w:p>
        </w:tc>
        <w:tc>
          <w:tcPr>
            <w:tcW w:w="1341" w:type="dxa"/>
          </w:tcPr>
          <w:p>
            <w:pPr>
              <w:pStyle w:val="TableParagraph"/>
              <w:rPr>
                <w:rFonts w:ascii="Times New Roman"/>
                <w:sz w:val="20"/>
              </w:rPr>
            </w:pPr>
          </w:p>
        </w:tc>
      </w:tr>
      <w:tr>
        <w:trPr>
          <w:trHeight w:val="450" w:hRule="atLeast"/>
        </w:trPr>
        <w:tc>
          <w:tcPr>
            <w:tcW w:w="1508" w:type="dxa"/>
          </w:tcPr>
          <w:p>
            <w:pPr>
              <w:pStyle w:val="TableParagraph"/>
              <w:rPr>
                <w:rFonts w:ascii="Times New Roman"/>
                <w:sz w:val="20"/>
              </w:rPr>
            </w:pPr>
          </w:p>
        </w:tc>
        <w:tc>
          <w:tcPr>
            <w:tcW w:w="1167" w:type="dxa"/>
          </w:tcPr>
          <w:p>
            <w:pPr>
              <w:pStyle w:val="TableParagraph"/>
              <w:rPr>
                <w:rFonts w:ascii="Times New Roman"/>
                <w:sz w:val="20"/>
              </w:rPr>
            </w:pPr>
          </w:p>
        </w:tc>
        <w:tc>
          <w:tcPr>
            <w:tcW w:w="1579" w:type="dxa"/>
          </w:tcPr>
          <w:p>
            <w:pPr>
              <w:pStyle w:val="TableParagraph"/>
              <w:rPr>
                <w:rFonts w:ascii="Times New Roman"/>
                <w:sz w:val="20"/>
              </w:rPr>
            </w:pPr>
          </w:p>
        </w:tc>
        <w:tc>
          <w:tcPr>
            <w:tcW w:w="1437" w:type="dxa"/>
          </w:tcPr>
          <w:p>
            <w:pPr>
              <w:pStyle w:val="TableParagraph"/>
              <w:rPr>
                <w:rFonts w:ascii="Times New Roman"/>
                <w:sz w:val="20"/>
              </w:rPr>
            </w:pPr>
          </w:p>
        </w:tc>
        <w:tc>
          <w:tcPr>
            <w:tcW w:w="837" w:type="dxa"/>
          </w:tcPr>
          <w:p>
            <w:pPr>
              <w:pStyle w:val="TableParagraph"/>
              <w:rPr>
                <w:rFonts w:ascii="Times New Roman"/>
                <w:sz w:val="20"/>
              </w:rPr>
            </w:pPr>
          </w:p>
        </w:tc>
        <w:tc>
          <w:tcPr>
            <w:tcW w:w="1028" w:type="dxa"/>
          </w:tcPr>
          <w:p>
            <w:pPr>
              <w:pStyle w:val="TableParagraph"/>
              <w:rPr>
                <w:rFonts w:ascii="Times New Roman"/>
                <w:sz w:val="20"/>
              </w:rPr>
            </w:pPr>
          </w:p>
        </w:tc>
        <w:tc>
          <w:tcPr>
            <w:tcW w:w="1341" w:type="dxa"/>
          </w:tcPr>
          <w:p>
            <w:pPr>
              <w:pStyle w:val="TableParagraph"/>
              <w:rPr>
                <w:rFonts w:ascii="Times New Roman"/>
                <w:sz w:val="20"/>
              </w:rPr>
            </w:pPr>
          </w:p>
        </w:tc>
      </w:tr>
      <w:tr>
        <w:trPr>
          <w:trHeight w:val="453" w:hRule="atLeast"/>
        </w:trPr>
        <w:tc>
          <w:tcPr>
            <w:tcW w:w="1508" w:type="dxa"/>
          </w:tcPr>
          <w:p>
            <w:pPr>
              <w:pStyle w:val="TableParagraph"/>
              <w:rPr>
                <w:rFonts w:ascii="Times New Roman"/>
                <w:sz w:val="20"/>
              </w:rPr>
            </w:pPr>
          </w:p>
        </w:tc>
        <w:tc>
          <w:tcPr>
            <w:tcW w:w="1167" w:type="dxa"/>
          </w:tcPr>
          <w:p>
            <w:pPr>
              <w:pStyle w:val="TableParagraph"/>
              <w:rPr>
                <w:rFonts w:ascii="Times New Roman"/>
                <w:sz w:val="20"/>
              </w:rPr>
            </w:pPr>
          </w:p>
        </w:tc>
        <w:tc>
          <w:tcPr>
            <w:tcW w:w="1579" w:type="dxa"/>
          </w:tcPr>
          <w:p>
            <w:pPr>
              <w:pStyle w:val="TableParagraph"/>
              <w:rPr>
                <w:rFonts w:ascii="Times New Roman"/>
                <w:sz w:val="20"/>
              </w:rPr>
            </w:pPr>
          </w:p>
        </w:tc>
        <w:tc>
          <w:tcPr>
            <w:tcW w:w="1437" w:type="dxa"/>
          </w:tcPr>
          <w:p>
            <w:pPr>
              <w:pStyle w:val="TableParagraph"/>
              <w:rPr>
                <w:rFonts w:ascii="Times New Roman"/>
                <w:sz w:val="20"/>
              </w:rPr>
            </w:pPr>
          </w:p>
        </w:tc>
        <w:tc>
          <w:tcPr>
            <w:tcW w:w="837" w:type="dxa"/>
          </w:tcPr>
          <w:p>
            <w:pPr>
              <w:pStyle w:val="TableParagraph"/>
              <w:rPr>
                <w:rFonts w:ascii="Times New Roman"/>
                <w:sz w:val="20"/>
              </w:rPr>
            </w:pPr>
          </w:p>
        </w:tc>
        <w:tc>
          <w:tcPr>
            <w:tcW w:w="1028" w:type="dxa"/>
          </w:tcPr>
          <w:p>
            <w:pPr>
              <w:pStyle w:val="TableParagraph"/>
              <w:rPr>
                <w:rFonts w:ascii="Times New Roman"/>
                <w:sz w:val="20"/>
              </w:rPr>
            </w:pPr>
          </w:p>
        </w:tc>
        <w:tc>
          <w:tcPr>
            <w:tcW w:w="1341" w:type="dxa"/>
          </w:tcPr>
          <w:p>
            <w:pPr>
              <w:pStyle w:val="TableParagraph"/>
              <w:rPr>
                <w:rFonts w:ascii="Times New Roman"/>
                <w:sz w:val="20"/>
              </w:rPr>
            </w:pPr>
          </w:p>
        </w:tc>
      </w:tr>
      <w:tr>
        <w:trPr>
          <w:trHeight w:val="450" w:hRule="atLeast"/>
        </w:trPr>
        <w:tc>
          <w:tcPr>
            <w:tcW w:w="1508" w:type="dxa"/>
          </w:tcPr>
          <w:p>
            <w:pPr>
              <w:pStyle w:val="TableParagraph"/>
              <w:rPr>
                <w:rFonts w:ascii="Times New Roman"/>
                <w:sz w:val="20"/>
              </w:rPr>
            </w:pPr>
          </w:p>
        </w:tc>
        <w:tc>
          <w:tcPr>
            <w:tcW w:w="1167" w:type="dxa"/>
          </w:tcPr>
          <w:p>
            <w:pPr>
              <w:pStyle w:val="TableParagraph"/>
              <w:rPr>
                <w:rFonts w:ascii="Times New Roman"/>
                <w:sz w:val="20"/>
              </w:rPr>
            </w:pPr>
          </w:p>
        </w:tc>
        <w:tc>
          <w:tcPr>
            <w:tcW w:w="1579" w:type="dxa"/>
          </w:tcPr>
          <w:p>
            <w:pPr>
              <w:pStyle w:val="TableParagraph"/>
              <w:rPr>
                <w:rFonts w:ascii="Times New Roman"/>
                <w:sz w:val="20"/>
              </w:rPr>
            </w:pPr>
          </w:p>
        </w:tc>
        <w:tc>
          <w:tcPr>
            <w:tcW w:w="1437" w:type="dxa"/>
          </w:tcPr>
          <w:p>
            <w:pPr>
              <w:pStyle w:val="TableParagraph"/>
              <w:rPr>
                <w:rFonts w:ascii="Times New Roman"/>
                <w:sz w:val="20"/>
              </w:rPr>
            </w:pPr>
          </w:p>
        </w:tc>
        <w:tc>
          <w:tcPr>
            <w:tcW w:w="837" w:type="dxa"/>
          </w:tcPr>
          <w:p>
            <w:pPr>
              <w:pStyle w:val="TableParagraph"/>
              <w:rPr>
                <w:rFonts w:ascii="Times New Roman"/>
                <w:sz w:val="20"/>
              </w:rPr>
            </w:pPr>
          </w:p>
        </w:tc>
        <w:tc>
          <w:tcPr>
            <w:tcW w:w="1028" w:type="dxa"/>
          </w:tcPr>
          <w:p>
            <w:pPr>
              <w:pStyle w:val="TableParagraph"/>
              <w:rPr>
                <w:rFonts w:ascii="Times New Roman"/>
                <w:sz w:val="20"/>
              </w:rPr>
            </w:pPr>
          </w:p>
        </w:tc>
        <w:tc>
          <w:tcPr>
            <w:tcW w:w="1341" w:type="dxa"/>
          </w:tcPr>
          <w:p>
            <w:pPr>
              <w:pStyle w:val="TableParagraph"/>
              <w:rPr>
                <w:rFonts w:ascii="Times New Roman"/>
                <w:sz w:val="20"/>
              </w:rPr>
            </w:pPr>
          </w:p>
        </w:tc>
      </w:tr>
      <w:tr>
        <w:trPr>
          <w:trHeight w:val="452" w:hRule="atLeast"/>
        </w:trPr>
        <w:tc>
          <w:tcPr>
            <w:tcW w:w="1508" w:type="dxa"/>
          </w:tcPr>
          <w:p>
            <w:pPr>
              <w:pStyle w:val="TableParagraph"/>
              <w:rPr>
                <w:rFonts w:ascii="Times New Roman"/>
                <w:sz w:val="20"/>
              </w:rPr>
            </w:pPr>
          </w:p>
        </w:tc>
        <w:tc>
          <w:tcPr>
            <w:tcW w:w="1167" w:type="dxa"/>
          </w:tcPr>
          <w:p>
            <w:pPr>
              <w:pStyle w:val="TableParagraph"/>
              <w:rPr>
                <w:rFonts w:ascii="Times New Roman"/>
                <w:sz w:val="20"/>
              </w:rPr>
            </w:pPr>
          </w:p>
        </w:tc>
        <w:tc>
          <w:tcPr>
            <w:tcW w:w="1579" w:type="dxa"/>
          </w:tcPr>
          <w:p>
            <w:pPr>
              <w:pStyle w:val="TableParagraph"/>
              <w:rPr>
                <w:rFonts w:ascii="Times New Roman"/>
                <w:sz w:val="20"/>
              </w:rPr>
            </w:pPr>
          </w:p>
        </w:tc>
        <w:tc>
          <w:tcPr>
            <w:tcW w:w="1437" w:type="dxa"/>
          </w:tcPr>
          <w:p>
            <w:pPr>
              <w:pStyle w:val="TableParagraph"/>
              <w:rPr>
                <w:rFonts w:ascii="Times New Roman"/>
                <w:sz w:val="20"/>
              </w:rPr>
            </w:pPr>
          </w:p>
        </w:tc>
        <w:tc>
          <w:tcPr>
            <w:tcW w:w="837" w:type="dxa"/>
          </w:tcPr>
          <w:p>
            <w:pPr>
              <w:pStyle w:val="TableParagraph"/>
              <w:rPr>
                <w:rFonts w:ascii="Times New Roman"/>
                <w:sz w:val="20"/>
              </w:rPr>
            </w:pPr>
          </w:p>
        </w:tc>
        <w:tc>
          <w:tcPr>
            <w:tcW w:w="1028" w:type="dxa"/>
          </w:tcPr>
          <w:p>
            <w:pPr>
              <w:pStyle w:val="TableParagraph"/>
              <w:rPr>
                <w:rFonts w:ascii="Times New Roman"/>
                <w:sz w:val="20"/>
              </w:rPr>
            </w:pPr>
          </w:p>
        </w:tc>
        <w:tc>
          <w:tcPr>
            <w:tcW w:w="1341" w:type="dxa"/>
          </w:tcPr>
          <w:p>
            <w:pPr>
              <w:pStyle w:val="TableParagraph"/>
              <w:rPr>
                <w:rFonts w:ascii="Times New Roman"/>
                <w:sz w:val="20"/>
              </w:rPr>
            </w:pPr>
          </w:p>
        </w:tc>
      </w:tr>
      <w:tr>
        <w:trPr>
          <w:trHeight w:val="451" w:hRule="atLeast"/>
        </w:trPr>
        <w:tc>
          <w:tcPr>
            <w:tcW w:w="1508" w:type="dxa"/>
          </w:tcPr>
          <w:p>
            <w:pPr>
              <w:pStyle w:val="TableParagraph"/>
              <w:rPr>
                <w:rFonts w:ascii="Times New Roman"/>
                <w:sz w:val="20"/>
              </w:rPr>
            </w:pPr>
          </w:p>
        </w:tc>
        <w:tc>
          <w:tcPr>
            <w:tcW w:w="1167" w:type="dxa"/>
          </w:tcPr>
          <w:p>
            <w:pPr>
              <w:pStyle w:val="TableParagraph"/>
              <w:rPr>
                <w:rFonts w:ascii="Times New Roman"/>
                <w:sz w:val="20"/>
              </w:rPr>
            </w:pPr>
          </w:p>
        </w:tc>
        <w:tc>
          <w:tcPr>
            <w:tcW w:w="1579" w:type="dxa"/>
          </w:tcPr>
          <w:p>
            <w:pPr>
              <w:pStyle w:val="TableParagraph"/>
              <w:rPr>
                <w:rFonts w:ascii="Times New Roman"/>
                <w:sz w:val="20"/>
              </w:rPr>
            </w:pPr>
          </w:p>
        </w:tc>
        <w:tc>
          <w:tcPr>
            <w:tcW w:w="1437" w:type="dxa"/>
          </w:tcPr>
          <w:p>
            <w:pPr>
              <w:pStyle w:val="TableParagraph"/>
              <w:rPr>
                <w:rFonts w:ascii="Times New Roman"/>
                <w:sz w:val="20"/>
              </w:rPr>
            </w:pPr>
          </w:p>
        </w:tc>
        <w:tc>
          <w:tcPr>
            <w:tcW w:w="837" w:type="dxa"/>
          </w:tcPr>
          <w:p>
            <w:pPr>
              <w:pStyle w:val="TableParagraph"/>
              <w:rPr>
                <w:rFonts w:ascii="Times New Roman"/>
                <w:sz w:val="20"/>
              </w:rPr>
            </w:pPr>
          </w:p>
        </w:tc>
        <w:tc>
          <w:tcPr>
            <w:tcW w:w="1028" w:type="dxa"/>
          </w:tcPr>
          <w:p>
            <w:pPr>
              <w:pStyle w:val="TableParagraph"/>
              <w:rPr>
                <w:rFonts w:ascii="Times New Roman"/>
                <w:sz w:val="20"/>
              </w:rPr>
            </w:pPr>
          </w:p>
        </w:tc>
        <w:tc>
          <w:tcPr>
            <w:tcW w:w="1341" w:type="dxa"/>
          </w:tcPr>
          <w:p>
            <w:pPr>
              <w:pStyle w:val="TableParagraph"/>
              <w:rPr>
                <w:rFonts w:ascii="Times New Roman"/>
                <w:sz w:val="20"/>
              </w:rPr>
            </w:pPr>
          </w:p>
        </w:tc>
      </w:tr>
      <w:tr>
        <w:trPr>
          <w:trHeight w:val="453" w:hRule="atLeast"/>
        </w:trPr>
        <w:tc>
          <w:tcPr>
            <w:tcW w:w="1508" w:type="dxa"/>
          </w:tcPr>
          <w:p>
            <w:pPr>
              <w:pStyle w:val="TableParagraph"/>
              <w:rPr>
                <w:rFonts w:ascii="Times New Roman"/>
                <w:sz w:val="20"/>
              </w:rPr>
            </w:pPr>
          </w:p>
        </w:tc>
        <w:tc>
          <w:tcPr>
            <w:tcW w:w="1167" w:type="dxa"/>
          </w:tcPr>
          <w:p>
            <w:pPr>
              <w:pStyle w:val="TableParagraph"/>
              <w:rPr>
                <w:rFonts w:ascii="Times New Roman"/>
                <w:sz w:val="20"/>
              </w:rPr>
            </w:pPr>
          </w:p>
        </w:tc>
        <w:tc>
          <w:tcPr>
            <w:tcW w:w="1579" w:type="dxa"/>
          </w:tcPr>
          <w:p>
            <w:pPr>
              <w:pStyle w:val="TableParagraph"/>
              <w:rPr>
                <w:rFonts w:ascii="Times New Roman"/>
                <w:sz w:val="20"/>
              </w:rPr>
            </w:pPr>
          </w:p>
        </w:tc>
        <w:tc>
          <w:tcPr>
            <w:tcW w:w="1437" w:type="dxa"/>
          </w:tcPr>
          <w:p>
            <w:pPr>
              <w:pStyle w:val="TableParagraph"/>
              <w:rPr>
                <w:rFonts w:ascii="Times New Roman"/>
                <w:sz w:val="20"/>
              </w:rPr>
            </w:pPr>
          </w:p>
        </w:tc>
        <w:tc>
          <w:tcPr>
            <w:tcW w:w="837" w:type="dxa"/>
          </w:tcPr>
          <w:p>
            <w:pPr>
              <w:pStyle w:val="TableParagraph"/>
              <w:rPr>
                <w:rFonts w:ascii="Times New Roman"/>
                <w:sz w:val="20"/>
              </w:rPr>
            </w:pPr>
          </w:p>
        </w:tc>
        <w:tc>
          <w:tcPr>
            <w:tcW w:w="1028" w:type="dxa"/>
          </w:tcPr>
          <w:p>
            <w:pPr>
              <w:pStyle w:val="TableParagraph"/>
              <w:rPr>
                <w:rFonts w:ascii="Times New Roman"/>
                <w:sz w:val="20"/>
              </w:rPr>
            </w:pPr>
          </w:p>
        </w:tc>
        <w:tc>
          <w:tcPr>
            <w:tcW w:w="1341" w:type="dxa"/>
          </w:tcPr>
          <w:p>
            <w:pPr>
              <w:pStyle w:val="TableParagraph"/>
              <w:rPr>
                <w:rFonts w:ascii="Times New Roman"/>
                <w:sz w:val="20"/>
              </w:rPr>
            </w:pPr>
          </w:p>
        </w:tc>
      </w:tr>
      <w:tr>
        <w:trPr>
          <w:trHeight w:val="450" w:hRule="atLeast"/>
        </w:trPr>
        <w:tc>
          <w:tcPr>
            <w:tcW w:w="1508" w:type="dxa"/>
          </w:tcPr>
          <w:p>
            <w:pPr>
              <w:pStyle w:val="TableParagraph"/>
              <w:rPr>
                <w:rFonts w:ascii="Times New Roman"/>
                <w:sz w:val="20"/>
              </w:rPr>
            </w:pPr>
          </w:p>
        </w:tc>
        <w:tc>
          <w:tcPr>
            <w:tcW w:w="1167" w:type="dxa"/>
          </w:tcPr>
          <w:p>
            <w:pPr>
              <w:pStyle w:val="TableParagraph"/>
              <w:rPr>
                <w:rFonts w:ascii="Times New Roman"/>
                <w:sz w:val="20"/>
              </w:rPr>
            </w:pPr>
          </w:p>
        </w:tc>
        <w:tc>
          <w:tcPr>
            <w:tcW w:w="1579" w:type="dxa"/>
          </w:tcPr>
          <w:p>
            <w:pPr>
              <w:pStyle w:val="TableParagraph"/>
              <w:rPr>
                <w:rFonts w:ascii="Times New Roman"/>
                <w:sz w:val="20"/>
              </w:rPr>
            </w:pPr>
          </w:p>
        </w:tc>
        <w:tc>
          <w:tcPr>
            <w:tcW w:w="1437" w:type="dxa"/>
          </w:tcPr>
          <w:p>
            <w:pPr>
              <w:pStyle w:val="TableParagraph"/>
              <w:rPr>
                <w:rFonts w:ascii="Times New Roman"/>
                <w:sz w:val="20"/>
              </w:rPr>
            </w:pPr>
          </w:p>
        </w:tc>
        <w:tc>
          <w:tcPr>
            <w:tcW w:w="837" w:type="dxa"/>
          </w:tcPr>
          <w:p>
            <w:pPr>
              <w:pStyle w:val="TableParagraph"/>
              <w:rPr>
                <w:rFonts w:ascii="Times New Roman"/>
                <w:sz w:val="20"/>
              </w:rPr>
            </w:pPr>
          </w:p>
        </w:tc>
        <w:tc>
          <w:tcPr>
            <w:tcW w:w="1028" w:type="dxa"/>
          </w:tcPr>
          <w:p>
            <w:pPr>
              <w:pStyle w:val="TableParagraph"/>
              <w:rPr>
                <w:rFonts w:ascii="Times New Roman"/>
                <w:sz w:val="20"/>
              </w:rPr>
            </w:pPr>
          </w:p>
        </w:tc>
        <w:tc>
          <w:tcPr>
            <w:tcW w:w="1341" w:type="dxa"/>
          </w:tcPr>
          <w:p>
            <w:pPr>
              <w:pStyle w:val="TableParagraph"/>
              <w:rPr>
                <w:rFonts w:ascii="Times New Roman"/>
                <w:sz w:val="20"/>
              </w:rPr>
            </w:pPr>
          </w:p>
        </w:tc>
      </w:tr>
      <w:tr>
        <w:trPr>
          <w:trHeight w:val="457" w:hRule="atLeast"/>
        </w:trPr>
        <w:tc>
          <w:tcPr>
            <w:tcW w:w="1508" w:type="dxa"/>
          </w:tcPr>
          <w:p>
            <w:pPr>
              <w:pStyle w:val="TableParagraph"/>
              <w:rPr>
                <w:rFonts w:ascii="Times New Roman"/>
                <w:sz w:val="20"/>
              </w:rPr>
            </w:pPr>
          </w:p>
        </w:tc>
        <w:tc>
          <w:tcPr>
            <w:tcW w:w="1167" w:type="dxa"/>
          </w:tcPr>
          <w:p>
            <w:pPr>
              <w:pStyle w:val="TableParagraph"/>
              <w:rPr>
                <w:rFonts w:ascii="Times New Roman"/>
                <w:sz w:val="20"/>
              </w:rPr>
            </w:pPr>
          </w:p>
        </w:tc>
        <w:tc>
          <w:tcPr>
            <w:tcW w:w="1579" w:type="dxa"/>
          </w:tcPr>
          <w:p>
            <w:pPr>
              <w:pStyle w:val="TableParagraph"/>
              <w:rPr>
                <w:rFonts w:ascii="Times New Roman"/>
                <w:sz w:val="20"/>
              </w:rPr>
            </w:pPr>
          </w:p>
        </w:tc>
        <w:tc>
          <w:tcPr>
            <w:tcW w:w="1437" w:type="dxa"/>
          </w:tcPr>
          <w:p>
            <w:pPr>
              <w:pStyle w:val="TableParagraph"/>
              <w:rPr>
                <w:rFonts w:ascii="Times New Roman"/>
                <w:sz w:val="20"/>
              </w:rPr>
            </w:pPr>
          </w:p>
        </w:tc>
        <w:tc>
          <w:tcPr>
            <w:tcW w:w="837" w:type="dxa"/>
          </w:tcPr>
          <w:p>
            <w:pPr>
              <w:pStyle w:val="TableParagraph"/>
              <w:rPr>
                <w:rFonts w:ascii="Times New Roman"/>
                <w:sz w:val="20"/>
              </w:rPr>
            </w:pPr>
          </w:p>
        </w:tc>
        <w:tc>
          <w:tcPr>
            <w:tcW w:w="1028" w:type="dxa"/>
          </w:tcPr>
          <w:p>
            <w:pPr>
              <w:pStyle w:val="TableParagraph"/>
              <w:rPr>
                <w:rFonts w:ascii="Times New Roman"/>
                <w:sz w:val="20"/>
              </w:rPr>
            </w:pPr>
          </w:p>
        </w:tc>
        <w:tc>
          <w:tcPr>
            <w:tcW w:w="1341" w:type="dxa"/>
          </w:tcPr>
          <w:p>
            <w:pPr>
              <w:pStyle w:val="TableParagraph"/>
              <w:rPr>
                <w:rFonts w:ascii="Times New Roman"/>
                <w:sz w:val="20"/>
              </w:rPr>
            </w:pPr>
          </w:p>
        </w:tc>
      </w:tr>
    </w:tbl>
    <w:p>
      <w:pPr>
        <w:pStyle w:val="BodyText"/>
        <w:spacing w:before="12"/>
      </w:pPr>
    </w:p>
    <w:p>
      <w:pPr>
        <w:spacing w:before="0"/>
        <w:ind w:left="0" w:right="4661" w:firstLine="0"/>
        <w:jc w:val="center"/>
        <w:rPr>
          <w:sz w:val="19"/>
        </w:rPr>
      </w:pPr>
      <w:r>
        <w:rPr>
          <w:sz w:val="20"/>
        </w:rPr>
        <w:t>注：</w:t>
      </w:r>
      <w:r>
        <w:rPr>
          <w:sz w:val="19"/>
        </w:rPr>
        <w:t>拟投入本项目人员须填写本简历表并附相关证明材料。</w:t>
      </w:r>
    </w:p>
    <w:p>
      <w:pPr>
        <w:spacing w:after="0"/>
        <w:jc w:val="center"/>
        <w:rPr>
          <w:sz w:val="19"/>
        </w:rPr>
        <w:sectPr>
          <w:pgSz w:w="11910" w:h="16840"/>
          <w:pgMar w:header="0" w:footer="770" w:top="1500" w:bottom="960" w:left="1300" w:right="500"/>
        </w:sectPr>
      </w:pPr>
    </w:p>
    <w:p>
      <w:pPr>
        <w:pStyle w:val="Heading7"/>
        <w:spacing w:before="34"/>
        <w:ind w:left="689"/>
        <w:rPr>
          <w:rFonts w:ascii="宋体" w:eastAsia="宋体" w:hint="eastAsia"/>
        </w:rPr>
      </w:pPr>
      <w:r>
        <w:rPr>
          <w:rFonts w:ascii="宋体" w:eastAsia="宋体" w:hint="eastAsia"/>
        </w:rPr>
        <w:t>（四）拟投入本项目的项目负责人情况表</w:t>
      </w:r>
    </w:p>
    <w:tbl>
      <w:tblPr>
        <w:tblW w:w="0" w:type="auto"/>
        <w:jc w:val="lef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04"/>
        <w:gridCol w:w="363"/>
        <w:gridCol w:w="704"/>
        <w:gridCol w:w="974"/>
        <w:gridCol w:w="1084"/>
        <w:gridCol w:w="717"/>
        <w:gridCol w:w="1281"/>
        <w:gridCol w:w="399"/>
        <w:gridCol w:w="1945"/>
      </w:tblGrid>
      <w:tr>
        <w:trPr>
          <w:trHeight w:val="895" w:hRule="atLeast"/>
        </w:trPr>
        <w:tc>
          <w:tcPr>
            <w:tcW w:w="1504" w:type="dxa"/>
          </w:tcPr>
          <w:p>
            <w:pPr>
              <w:pStyle w:val="TableParagraph"/>
              <w:spacing w:before="2"/>
              <w:rPr>
                <w:sz w:val="20"/>
              </w:rPr>
            </w:pPr>
          </w:p>
          <w:p>
            <w:pPr>
              <w:pStyle w:val="TableParagraph"/>
              <w:ind w:left="492"/>
              <w:rPr>
                <w:sz w:val="20"/>
              </w:rPr>
            </w:pPr>
            <w:r>
              <w:rPr>
                <w:sz w:val="20"/>
              </w:rPr>
              <w:t>姓 名</w:t>
            </w:r>
          </w:p>
        </w:tc>
        <w:tc>
          <w:tcPr>
            <w:tcW w:w="1067" w:type="dxa"/>
            <w:gridSpan w:val="2"/>
          </w:tcPr>
          <w:p>
            <w:pPr>
              <w:pStyle w:val="TableParagraph"/>
              <w:rPr>
                <w:rFonts w:ascii="Times New Roman"/>
                <w:sz w:val="20"/>
              </w:rPr>
            </w:pPr>
          </w:p>
        </w:tc>
        <w:tc>
          <w:tcPr>
            <w:tcW w:w="974" w:type="dxa"/>
          </w:tcPr>
          <w:p>
            <w:pPr>
              <w:pStyle w:val="TableParagraph"/>
              <w:spacing w:before="2"/>
              <w:rPr>
                <w:sz w:val="20"/>
              </w:rPr>
            </w:pPr>
          </w:p>
          <w:p>
            <w:pPr>
              <w:pStyle w:val="TableParagraph"/>
              <w:ind w:right="170"/>
              <w:jc w:val="right"/>
              <w:rPr>
                <w:sz w:val="20"/>
              </w:rPr>
            </w:pPr>
            <w:r>
              <w:rPr>
                <w:sz w:val="20"/>
              </w:rPr>
              <w:t>年 龄</w:t>
            </w:r>
          </w:p>
        </w:tc>
        <w:tc>
          <w:tcPr>
            <w:tcW w:w="1084" w:type="dxa"/>
          </w:tcPr>
          <w:p>
            <w:pPr>
              <w:pStyle w:val="TableParagraph"/>
              <w:rPr>
                <w:rFonts w:ascii="Times New Roman"/>
                <w:sz w:val="20"/>
              </w:rPr>
            </w:pPr>
          </w:p>
        </w:tc>
        <w:tc>
          <w:tcPr>
            <w:tcW w:w="2397" w:type="dxa"/>
            <w:gridSpan w:val="3"/>
          </w:tcPr>
          <w:p>
            <w:pPr>
              <w:pStyle w:val="TableParagraph"/>
              <w:spacing w:line="367" w:lineRule="auto" w:before="64"/>
              <w:ind w:left="615" w:right="224" w:hanging="521"/>
              <w:rPr>
                <w:sz w:val="20"/>
              </w:rPr>
            </w:pPr>
            <w:r>
              <w:rPr>
                <w:sz w:val="20"/>
              </w:rPr>
              <w:t>执业资格证书（或特种证书）名称</w:t>
            </w:r>
          </w:p>
        </w:tc>
        <w:tc>
          <w:tcPr>
            <w:tcW w:w="1945" w:type="dxa"/>
          </w:tcPr>
          <w:p>
            <w:pPr>
              <w:pStyle w:val="TableParagraph"/>
              <w:rPr>
                <w:rFonts w:ascii="Times New Roman"/>
                <w:sz w:val="20"/>
              </w:rPr>
            </w:pPr>
          </w:p>
        </w:tc>
      </w:tr>
      <w:tr>
        <w:trPr>
          <w:trHeight w:val="696" w:hRule="atLeast"/>
        </w:trPr>
        <w:tc>
          <w:tcPr>
            <w:tcW w:w="1504" w:type="dxa"/>
          </w:tcPr>
          <w:p>
            <w:pPr>
              <w:pStyle w:val="TableParagraph"/>
              <w:spacing w:before="158"/>
              <w:ind w:left="495"/>
              <w:rPr>
                <w:sz w:val="20"/>
              </w:rPr>
            </w:pPr>
            <w:r>
              <w:rPr>
                <w:sz w:val="20"/>
              </w:rPr>
              <w:t>职 称</w:t>
            </w:r>
          </w:p>
        </w:tc>
        <w:tc>
          <w:tcPr>
            <w:tcW w:w="1067" w:type="dxa"/>
            <w:gridSpan w:val="2"/>
          </w:tcPr>
          <w:p>
            <w:pPr>
              <w:pStyle w:val="TableParagraph"/>
              <w:rPr>
                <w:rFonts w:ascii="Times New Roman"/>
                <w:sz w:val="20"/>
              </w:rPr>
            </w:pPr>
          </w:p>
        </w:tc>
        <w:tc>
          <w:tcPr>
            <w:tcW w:w="974" w:type="dxa"/>
          </w:tcPr>
          <w:p>
            <w:pPr>
              <w:pStyle w:val="TableParagraph"/>
              <w:spacing w:before="158"/>
              <w:ind w:right="165"/>
              <w:jc w:val="right"/>
              <w:rPr>
                <w:sz w:val="20"/>
              </w:rPr>
            </w:pPr>
            <w:r>
              <w:rPr>
                <w:sz w:val="20"/>
              </w:rPr>
              <w:t>学 历</w:t>
            </w:r>
          </w:p>
        </w:tc>
        <w:tc>
          <w:tcPr>
            <w:tcW w:w="1084" w:type="dxa"/>
          </w:tcPr>
          <w:p>
            <w:pPr>
              <w:pStyle w:val="TableParagraph"/>
              <w:rPr>
                <w:rFonts w:ascii="Times New Roman"/>
                <w:sz w:val="20"/>
              </w:rPr>
            </w:pPr>
          </w:p>
        </w:tc>
        <w:tc>
          <w:tcPr>
            <w:tcW w:w="2397" w:type="dxa"/>
            <w:gridSpan w:val="3"/>
          </w:tcPr>
          <w:p>
            <w:pPr>
              <w:pStyle w:val="TableParagraph"/>
              <w:spacing w:before="155"/>
              <w:ind w:left="469"/>
              <w:rPr>
                <w:sz w:val="20"/>
              </w:rPr>
            </w:pPr>
            <w:r>
              <w:rPr>
                <w:sz w:val="20"/>
              </w:rPr>
              <w:t>拟在本项目任职</w:t>
            </w:r>
          </w:p>
        </w:tc>
        <w:tc>
          <w:tcPr>
            <w:tcW w:w="1945" w:type="dxa"/>
          </w:tcPr>
          <w:p>
            <w:pPr>
              <w:pStyle w:val="TableParagraph"/>
              <w:rPr>
                <w:rFonts w:ascii="Times New Roman"/>
                <w:sz w:val="20"/>
              </w:rPr>
            </w:pPr>
          </w:p>
        </w:tc>
      </w:tr>
      <w:tr>
        <w:trPr>
          <w:trHeight w:val="700" w:hRule="atLeast"/>
        </w:trPr>
        <w:tc>
          <w:tcPr>
            <w:tcW w:w="1504" w:type="dxa"/>
          </w:tcPr>
          <w:p>
            <w:pPr>
              <w:pStyle w:val="TableParagraph"/>
              <w:spacing w:before="160"/>
              <w:ind w:left="339"/>
              <w:rPr>
                <w:sz w:val="20"/>
              </w:rPr>
            </w:pPr>
            <w:r>
              <w:rPr>
                <w:sz w:val="20"/>
              </w:rPr>
              <w:t>工作年限</w:t>
            </w:r>
          </w:p>
        </w:tc>
        <w:tc>
          <w:tcPr>
            <w:tcW w:w="3125" w:type="dxa"/>
            <w:gridSpan w:val="4"/>
          </w:tcPr>
          <w:p>
            <w:pPr>
              <w:pStyle w:val="TableParagraph"/>
              <w:rPr>
                <w:rFonts w:ascii="Times New Roman"/>
                <w:sz w:val="20"/>
              </w:rPr>
            </w:pPr>
          </w:p>
        </w:tc>
        <w:tc>
          <w:tcPr>
            <w:tcW w:w="2397" w:type="dxa"/>
            <w:gridSpan w:val="3"/>
          </w:tcPr>
          <w:p>
            <w:pPr>
              <w:pStyle w:val="TableParagraph"/>
              <w:spacing w:before="160"/>
              <w:ind w:left="366"/>
              <w:rPr>
                <w:sz w:val="20"/>
              </w:rPr>
            </w:pPr>
            <w:r>
              <w:rPr>
                <w:sz w:val="20"/>
              </w:rPr>
              <w:t>从事相关工作年限</w:t>
            </w:r>
          </w:p>
        </w:tc>
        <w:tc>
          <w:tcPr>
            <w:tcW w:w="1945" w:type="dxa"/>
          </w:tcPr>
          <w:p>
            <w:pPr>
              <w:pStyle w:val="TableParagraph"/>
              <w:rPr>
                <w:rFonts w:ascii="Times New Roman"/>
                <w:sz w:val="20"/>
              </w:rPr>
            </w:pPr>
          </w:p>
        </w:tc>
      </w:tr>
      <w:tr>
        <w:trPr>
          <w:trHeight w:val="710" w:hRule="atLeast"/>
        </w:trPr>
        <w:tc>
          <w:tcPr>
            <w:tcW w:w="1504" w:type="dxa"/>
          </w:tcPr>
          <w:p>
            <w:pPr>
              <w:pStyle w:val="TableParagraph"/>
              <w:spacing w:before="164"/>
              <w:rPr>
                <w:sz w:val="20"/>
              </w:rPr>
            </w:pPr>
            <w:r>
              <w:rPr>
                <w:sz w:val="20"/>
              </w:rPr>
              <w:t>毕业学校</w:t>
            </w:r>
          </w:p>
        </w:tc>
        <w:tc>
          <w:tcPr>
            <w:tcW w:w="7467" w:type="dxa"/>
            <w:gridSpan w:val="8"/>
          </w:tcPr>
          <w:p>
            <w:pPr>
              <w:pStyle w:val="TableParagraph"/>
              <w:tabs>
                <w:tab w:pos="1798" w:val="left" w:leader="none"/>
                <w:tab w:pos="2634" w:val="left" w:leader="none"/>
              </w:tabs>
              <w:spacing w:before="164"/>
              <w:ind w:left="637"/>
              <w:rPr>
                <w:sz w:val="20"/>
              </w:rPr>
            </w:pPr>
            <w:r>
              <w:rPr>
                <w:spacing w:val="5"/>
                <w:sz w:val="20"/>
              </w:rPr>
              <w:t>年毕</w:t>
            </w:r>
            <w:r>
              <w:rPr>
                <w:spacing w:val="5"/>
                <w:sz w:val="20"/>
              </w:rPr>
              <w:t>业</w:t>
            </w:r>
            <w:r>
              <w:rPr>
                <w:sz w:val="20"/>
              </w:rPr>
              <w:t>于</w:t>
              <w:tab/>
            </w:r>
            <w:r>
              <w:rPr>
                <w:spacing w:val="5"/>
                <w:sz w:val="20"/>
              </w:rPr>
              <w:t>学</w:t>
            </w:r>
            <w:r>
              <w:rPr>
                <w:sz w:val="20"/>
              </w:rPr>
              <w:t>校</w:t>
              <w:tab/>
            </w:r>
            <w:r>
              <w:rPr>
                <w:spacing w:val="5"/>
                <w:sz w:val="20"/>
              </w:rPr>
              <w:t>专</w:t>
            </w:r>
            <w:r>
              <w:rPr>
                <w:sz w:val="20"/>
              </w:rPr>
              <w:t>业</w:t>
            </w:r>
          </w:p>
        </w:tc>
      </w:tr>
      <w:tr>
        <w:trPr>
          <w:trHeight w:val="694" w:hRule="atLeast"/>
        </w:trPr>
        <w:tc>
          <w:tcPr>
            <w:tcW w:w="8971" w:type="dxa"/>
            <w:gridSpan w:val="9"/>
          </w:tcPr>
          <w:p>
            <w:pPr>
              <w:pStyle w:val="TableParagraph"/>
              <w:spacing w:before="157"/>
              <w:ind w:left="3848" w:right="3878"/>
              <w:jc w:val="center"/>
              <w:rPr>
                <w:sz w:val="20"/>
              </w:rPr>
            </w:pPr>
            <w:r>
              <w:rPr>
                <w:sz w:val="20"/>
              </w:rPr>
              <w:t>主要工作经历</w:t>
            </w:r>
          </w:p>
        </w:tc>
      </w:tr>
      <w:tr>
        <w:trPr>
          <w:trHeight w:val="572" w:hRule="atLeast"/>
        </w:trPr>
        <w:tc>
          <w:tcPr>
            <w:tcW w:w="1867" w:type="dxa"/>
            <w:gridSpan w:val="2"/>
          </w:tcPr>
          <w:p>
            <w:pPr>
              <w:pStyle w:val="TableParagraph"/>
              <w:spacing w:before="97"/>
              <w:ind w:left="744"/>
              <w:rPr>
                <w:sz w:val="20"/>
              </w:rPr>
            </w:pPr>
            <w:r>
              <w:rPr>
                <w:sz w:val="20"/>
              </w:rPr>
              <w:t>时 间</w:t>
            </w:r>
          </w:p>
        </w:tc>
        <w:tc>
          <w:tcPr>
            <w:tcW w:w="3479" w:type="dxa"/>
            <w:gridSpan w:val="4"/>
          </w:tcPr>
          <w:p>
            <w:pPr>
              <w:pStyle w:val="TableParagraph"/>
              <w:spacing w:before="94"/>
              <w:ind w:left="1088"/>
              <w:rPr>
                <w:sz w:val="20"/>
              </w:rPr>
            </w:pPr>
            <w:r>
              <w:rPr>
                <w:sz w:val="20"/>
              </w:rPr>
              <w:t>参加过的类似项目</w:t>
            </w:r>
          </w:p>
        </w:tc>
        <w:tc>
          <w:tcPr>
            <w:tcW w:w="1281" w:type="dxa"/>
          </w:tcPr>
          <w:p>
            <w:pPr>
              <w:pStyle w:val="TableParagraph"/>
              <w:spacing w:before="94"/>
              <w:ind w:left="117"/>
              <w:rPr>
                <w:sz w:val="20"/>
              </w:rPr>
            </w:pPr>
            <w:r>
              <w:rPr>
                <w:sz w:val="20"/>
              </w:rPr>
              <w:t>担任职务</w:t>
            </w:r>
          </w:p>
        </w:tc>
        <w:tc>
          <w:tcPr>
            <w:tcW w:w="2344" w:type="dxa"/>
            <w:gridSpan w:val="2"/>
          </w:tcPr>
          <w:p>
            <w:pPr>
              <w:pStyle w:val="TableParagraph"/>
              <w:spacing w:before="97"/>
              <w:ind w:left="115"/>
              <w:rPr>
                <w:sz w:val="20"/>
              </w:rPr>
            </w:pPr>
            <w:r>
              <w:rPr>
                <w:sz w:val="20"/>
              </w:rPr>
              <w:t>委托人及联系电话</w:t>
            </w:r>
          </w:p>
        </w:tc>
      </w:tr>
      <w:tr>
        <w:trPr>
          <w:trHeight w:val="700" w:hRule="atLeast"/>
        </w:trPr>
        <w:tc>
          <w:tcPr>
            <w:tcW w:w="1867" w:type="dxa"/>
            <w:gridSpan w:val="2"/>
          </w:tcPr>
          <w:p>
            <w:pPr>
              <w:pStyle w:val="TableParagraph"/>
              <w:rPr>
                <w:rFonts w:ascii="Times New Roman"/>
                <w:sz w:val="20"/>
              </w:rPr>
            </w:pPr>
          </w:p>
        </w:tc>
        <w:tc>
          <w:tcPr>
            <w:tcW w:w="3479" w:type="dxa"/>
            <w:gridSpan w:val="4"/>
          </w:tcPr>
          <w:p>
            <w:pPr>
              <w:pStyle w:val="TableParagraph"/>
              <w:rPr>
                <w:rFonts w:ascii="Times New Roman"/>
                <w:sz w:val="20"/>
              </w:rPr>
            </w:pPr>
          </w:p>
        </w:tc>
        <w:tc>
          <w:tcPr>
            <w:tcW w:w="1281" w:type="dxa"/>
          </w:tcPr>
          <w:p>
            <w:pPr>
              <w:pStyle w:val="TableParagraph"/>
              <w:rPr>
                <w:rFonts w:ascii="Times New Roman"/>
                <w:sz w:val="20"/>
              </w:rPr>
            </w:pPr>
          </w:p>
        </w:tc>
        <w:tc>
          <w:tcPr>
            <w:tcW w:w="2344" w:type="dxa"/>
            <w:gridSpan w:val="2"/>
          </w:tcPr>
          <w:p>
            <w:pPr>
              <w:pStyle w:val="TableParagraph"/>
              <w:rPr>
                <w:rFonts w:ascii="Times New Roman"/>
                <w:sz w:val="20"/>
              </w:rPr>
            </w:pPr>
          </w:p>
        </w:tc>
      </w:tr>
      <w:tr>
        <w:trPr>
          <w:trHeight w:val="698" w:hRule="atLeast"/>
        </w:trPr>
        <w:tc>
          <w:tcPr>
            <w:tcW w:w="1867" w:type="dxa"/>
            <w:gridSpan w:val="2"/>
          </w:tcPr>
          <w:p>
            <w:pPr>
              <w:pStyle w:val="TableParagraph"/>
              <w:rPr>
                <w:rFonts w:ascii="Times New Roman"/>
                <w:sz w:val="20"/>
              </w:rPr>
            </w:pPr>
          </w:p>
        </w:tc>
        <w:tc>
          <w:tcPr>
            <w:tcW w:w="3479" w:type="dxa"/>
            <w:gridSpan w:val="4"/>
          </w:tcPr>
          <w:p>
            <w:pPr>
              <w:pStyle w:val="TableParagraph"/>
              <w:rPr>
                <w:rFonts w:ascii="Times New Roman"/>
                <w:sz w:val="20"/>
              </w:rPr>
            </w:pPr>
          </w:p>
        </w:tc>
        <w:tc>
          <w:tcPr>
            <w:tcW w:w="1281" w:type="dxa"/>
          </w:tcPr>
          <w:p>
            <w:pPr>
              <w:pStyle w:val="TableParagraph"/>
              <w:rPr>
                <w:rFonts w:ascii="Times New Roman"/>
                <w:sz w:val="20"/>
              </w:rPr>
            </w:pPr>
          </w:p>
        </w:tc>
        <w:tc>
          <w:tcPr>
            <w:tcW w:w="2344" w:type="dxa"/>
            <w:gridSpan w:val="2"/>
          </w:tcPr>
          <w:p>
            <w:pPr>
              <w:pStyle w:val="TableParagraph"/>
              <w:rPr>
                <w:rFonts w:ascii="Times New Roman"/>
                <w:sz w:val="20"/>
              </w:rPr>
            </w:pPr>
          </w:p>
        </w:tc>
      </w:tr>
      <w:tr>
        <w:trPr>
          <w:trHeight w:val="701" w:hRule="atLeast"/>
        </w:trPr>
        <w:tc>
          <w:tcPr>
            <w:tcW w:w="1867" w:type="dxa"/>
            <w:gridSpan w:val="2"/>
          </w:tcPr>
          <w:p>
            <w:pPr>
              <w:pStyle w:val="TableParagraph"/>
              <w:rPr>
                <w:rFonts w:ascii="Times New Roman"/>
                <w:sz w:val="20"/>
              </w:rPr>
            </w:pPr>
          </w:p>
        </w:tc>
        <w:tc>
          <w:tcPr>
            <w:tcW w:w="3479" w:type="dxa"/>
            <w:gridSpan w:val="4"/>
          </w:tcPr>
          <w:p>
            <w:pPr>
              <w:pStyle w:val="TableParagraph"/>
              <w:rPr>
                <w:rFonts w:ascii="Times New Roman"/>
                <w:sz w:val="20"/>
              </w:rPr>
            </w:pPr>
          </w:p>
        </w:tc>
        <w:tc>
          <w:tcPr>
            <w:tcW w:w="1281" w:type="dxa"/>
          </w:tcPr>
          <w:p>
            <w:pPr>
              <w:pStyle w:val="TableParagraph"/>
              <w:rPr>
                <w:rFonts w:ascii="Times New Roman"/>
                <w:sz w:val="20"/>
              </w:rPr>
            </w:pPr>
          </w:p>
        </w:tc>
        <w:tc>
          <w:tcPr>
            <w:tcW w:w="2344" w:type="dxa"/>
            <w:gridSpan w:val="2"/>
          </w:tcPr>
          <w:p>
            <w:pPr>
              <w:pStyle w:val="TableParagraph"/>
              <w:rPr>
                <w:rFonts w:ascii="Times New Roman"/>
                <w:sz w:val="20"/>
              </w:rPr>
            </w:pPr>
          </w:p>
        </w:tc>
      </w:tr>
      <w:tr>
        <w:trPr>
          <w:trHeight w:val="701" w:hRule="atLeast"/>
        </w:trPr>
        <w:tc>
          <w:tcPr>
            <w:tcW w:w="1867" w:type="dxa"/>
            <w:gridSpan w:val="2"/>
          </w:tcPr>
          <w:p>
            <w:pPr>
              <w:pStyle w:val="TableParagraph"/>
              <w:rPr>
                <w:rFonts w:ascii="Times New Roman"/>
                <w:sz w:val="20"/>
              </w:rPr>
            </w:pPr>
          </w:p>
        </w:tc>
        <w:tc>
          <w:tcPr>
            <w:tcW w:w="3479" w:type="dxa"/>
            <w:gridSpan w:val="4"/>
          </w:tcPr>
          <w:p>
            <w:pPr>
              <w:pStyle w:val="TableParagraph"/>
              <w:rPr>
                <w:rFonts w:ascii="Times New Roman"/>
                <w:sz w:val="20"/>
              </w:rPr>
            </w:pPr>
          </w:p>
        </w:tc>
        <w:tc>
          <w:tcPr>
            <w:tcW w:w="1281" w:type="dxa"/>
          </w:tcPr>
          <w:p>
            <w:pPr>
              <w:pStyle w:val="TableParagraph"/>
              <w:rPr>
                <w:rFonts w:ascii="Times New Roman"/>
                <w:sz w:val="20"/>
              </w:rPr>
            </w:pPr>
          </w:p>
        </w:tc>
        <w:tc>
          <w:tcPr>
            <w:tcW w:w="2344" w:type="dxa"/>
            <w:gridSpan w:val="2"/>
          </w:tcPr>
          <w:p>
            <w:pPr>
              <w:pStyle w:val="TableParagraph"/>
              <w:rPr>
                <w:rFonts w:ascii="Times New Roman"/>
                <w:sz w:val="20"/>
              </w:rPr>
            </w:pPr>
          </w:p>
        </w:tc>
      </w:tr>
      <w:tr>
        <w:trPr>
          <w:trHeight w:val="698" w:hRule="atLeast"/>
        </w:trPr>
        <w:tc>
          <w:tcPr>
            <w:tcW w:w="1867" w:type="dxa"/>
            <w:gridSpan w:val="2"/>
          </w:tcPr>
          <w:p>
            <w:pPr>
              <w:pStyle w:val="TableParagraph"/>
              <w:rPr>
                <w:rFonts w:ascii="Times New Roman"/>
                <w:sz w:val="20"/>
              </w:rPr>
            </w:pPr>
          </w:p>
        </w:tc>
        <w:tc>
          <w:tcPr>
            <w:tcW w:w="3479" w:type="dxa"/>
            <w:gridSpan w:val="4"/>
          </w:tcPr>
          <w:p>
            <w:pPr>
              <w:pStyle w:val="TableParagraph"/>
              <w:rPr>
                <w:rFonts w:ascii="Times New Roman"/>
                <w:sz w:val="20"/>
              </w:rPr>
            </w:pPr>
          </w:p>
        </w:tc>
        <w:tc>
          <w:tcPr>
            <w:tcW w:w="1281" w:type="dxa"/>
          </w:tcPr>
          <w:p>
            <w:pPr>
              <w:pStyle w:val="TableParagraph"/>
              <w:rPr>
                <w:rFonts w:ascii="Times New Roman"/>
                <w:sz w:val="20"/>
              </w:rPr>
            </w:pPr>
          </w:p>
        </w:tc>
        <w:tc>
          <w:tcPr>
            <w:tcW w:w="2344" w:type="dxa"/>
            <w:gridSpan w:val="2"/>
          </w:tcPr>
          <w:p>
            <w:pPr>
              <w:pStyle w:val="TableParagraph"/>
              <w:rPr>
                <w:rFonts w:ascii="Times New Roman"/>
                <w:sz w:val="20"/>
              </w:rPr>
            </w:pPr>
          </w:p>
        </w:tc>
      </w:tr>
      <w:tr>
        <w:trPr>
          <w:trHeight w:val="701" w:hRule="atLeast"/>
        </w:trPr>
        <w:tc>
          <w:tcPr>
            <w:tcW w:w="1867" w:type="dxa"/>
            <w:gridSpan w:val="2"/>
          </w:tcPr>
          <w:p>
            <w:pPr>
              <w:pStyle w:val="TableParagraph"/>
              <w:rPr>
                <w:rFonts w:ascii="Times New Roman"/>
                <w:sz w:val="20"/>
              </w:rPr>
            </w:pPr>
          </w:p>
        </w:tc>
        <w:tc>
          <w:tcPr>
            <w:tcW w:w="3479" w:type="dxa"/>
            <w:gridSpan w:val="4"/>
          </w:tcPr>
          <w:p>
            <w:pPr>
              <w:pStyle w:val="TableParagraph"/>
              <w:rPr>
                <w:rFonts w:ascii="Times New Roman"/>
                <w:sz w:val="20"/>
              </w:rPr>
            </w:pPr>
          </w:p>
        </w:tc>
        <w:tc>
          <w:tcPr>
            <w:tcW w:w="1281" w:type="dxa"/>
          </w:tcPr>
          <w:p>
            <w:pPr>
              <w:pStyle w:val="TableParagraph"/>
              <w:rPr>
                <w:rFonts w:ascii="Times New Roman"/>
                <w:sz w:val="20"/>
              </w:rPr>
            </w:pPr>
          </w:p>
        </w:tc>
        <w:tc>
          <w:tcPr>
            <w:tcW w:w="2344" w:type="dxa"/>
            <w:gridSpan w:val="2"/>
          </w:tcPr>
          <w:p>
            <w:pPr>
              <w:pStyle w:val="TableParagraph"/>
              <w:rPr>
                <w:rFonts w:ascii="Times New Roman"/>
                <w:sz w:val="20"/>
              </w:rPr>
            </w:pPr>
          </w:p>
        </w:tc>
      </w:tr>
      <w:tr>
        <w:trPr>
          <w:trHeight w:val="710" w:hRule="atLeast"/>
        </w:trPr>
        <w:tc>
          <w:tcPr>
            <w:tcW w:w="1867" w:type="dxa"/>
            <w:gridSpan w:val="2"/>
          </w:tcPr>
          <w:p>
            <w:pPr>
              <w:pStyle w:val="TableParagraph"/>
              <w:rPr>
                <w:rFonts w:ascii="Times New Roman"/>
                <w:sz w:val="20"/>
              </w:rPr>
            </w:pPr>
          </w:p>
        </w:tc>
        <w:tc>
          <w:tcPr>
            <w:tcW w:w="3479" w:type="dxa"/>
            <w:gridSpan w:val="4"/>
          </w:tcPr>
          <w:p>
            <w:pPr>
              <w:pStyle w:val="TableParagraph"/>
              <w:rPr>
                <w:rFonts w:ascii="Times New Roman"/>
                <w:sz w:val="20"/>
              </w:rPr>
            </w:pPr>
          </w:p>
        </w:tc>
        <w:tc>
          <w:tcPr>
            <w:tcW w:w="1281" w:type="dxa"/>
          </w:tcPr>
          <w:p>
            <w:pPr>
              <w:pStyle w:val="TableParagraph"/>
              <w:rPr>
                <w:rFonts w:ascii="Times New Roman"/>
                <w:sz w:val="20"/>
              </w:rPr>
            </w:pPr>
          </w:p>
        </w:tc>
        <w:tc>
          <w:tcPr>
            <w:tcW w:w="2344" w:type="dxa"/>
            <w:gridSpan w:val="2"/>
          </w:tcPr>
          <w:p>
            <w:pPr>
              <w:pStyle w:val="TableParagraph"/>
              <w:rPr>
                <w:rFonts w:ascii="Times New Roman"/>
                <w:sz w:val="20"/>
              </w:rPr>
            </w:pPr>
          </w:p>
        </w:tc>
      </w:tr>
    </w:tbl>
    <w:p>
      <w:pPr>
        <w:spacing w:before="27"/>
        <w:ind w:left="115" w:right="0" w:firstLine="0"/>
        <w:jc w:val="left"/>
        <w:rPr>
          <w:sz w:val="19"/>
        </w:rPr>
      </w:pPr>
      <w:r>
        <w:rPr>
          <w:sz w:val="20"/>
        </w:rPr>
        <w:t>注：</w:t>
      </w:r>
      <w:r>
        <w:rPr>
          <w:sz w:val="19"/>
        </w:rPr>
        <w:t>拟投入本项目的项目负责人须填写本简历表并附相关证明材料</w:t>
      </w:r>
    </w:p>
    <w:p>
      <w:pPr>
        <w:spacing w:after="0"/>
        <w:jc w:val="left"/>
        <w:rPr>
          <w:sz w:val="19"/>
        </w:rPr>
        <w:sectPr>
          <w:pgSz w:w="11910" w:h="16840"/>
          <w:pgMar w:header="0" w:footer="770" w:top="1500" w:bottom="960" w:left="1300" w:right="500"/>
        </w:sectPr>
      </w:pPr>
    </w:p>
    <w:p>
      <w:pPr>
        <w:pStyle w:val="Heading7"/>
        <w:spacing w:before="34"/>
        <w:ind w:left="668"/>
        <w:rPr>
          <w:rFonts w:ascii="宋体" w:eastAsia="宋体" w:hint="eastAsia"/>
        </w:rPr>
      </w:pPr>
      <w:r>
        <w:rPr>
          <w:rFonts w:ascii="宋体" w:eastAsia="宋体" w:hint="eastAsia"/>
        </w:rPr>
        <w:t>（五）主要人员简历表</w:t>
      </w:r>
    </w:p>
    <w:p>
      <w:pPr>
        <w:pStyle w:val="BodyText"/>
        <w:spacing w:before="12"/>
        <w:rPr>
          <w:sz w:val="12"/>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13"/>
        <w:gridCol w:w="823"/>
        <w:gridCol w:w="1509"/>
        <w:gridCol w:w="1294"/>
        <w:gridCol w:w="1739"/>
        <w:gridCol w:w="1979"/>
      </w:tblGrid>
      <w:tr>
        <w:trPr>
          <w:trHeight w:val="422" w:hRule="atLeast"/>
        </w:trPr>
        <w:tc>
          <w:tcPr>
            <w:tcW w:w="1713" w:type="dxa"/>
          </w:tcPr>
          <w:p>
            <w:pPr>
              <w:pStyle w:val="TableParagraph"/>
              <w:spacing w:before="95"/>
              <w:ind w:left="133" w:right="133"/>
              <w:jc w:val="center"/>
              <w:rPr>
                <w:sz w:val="20"/>
              </w:rPr>
            </w:pPr>
            <w:r>
              <w:rPr>
                <w:sz w:val="20"/>
              </w:rPr>
              <w:t>姓名</w:t>
            </w:r>
          </w:p>
        </w:tc>
        <w:tc>
          <w:tcPr>
            <w:tcW w:w="823" w:type="dxa"/>
          </w:tcPr>
          <w:p>
            <w:pPr>
              <w:pStyle w:val="TableParagraph"/>
              <w:rPr>
                <w:rFonts w:ascii="Times New Roman"/>
                <w:sz w:val="20"/>
              </w:rPr>
            </w:pPr>
          </w:p>
        </w:tc>
        <w:tc>
          <w:tcPr>
            <w:tcW w:w="1509" w:type="dxa"/>
          </w:tcPr>
          <w:p>
            <w:pPr>
              <w:pStyle w:val="TableParagraph"/>
              <w:spacing w:before="95"/>
              <w:ind w:left="332" w:right="332"/>
              <w:jc w:val="center"/>
              <w:rPr>
                <w:sz w:val="20"/>
              </w:rPr>
            </w:pPr>
            <w:r>
              <w:rPr>
                <w:sz w:val="20"/>
              </w:rPr>
              <w:t>出生年月</w:t>
            </w:r>
          </w:p>
        </w:tc>
        <w:tc>
          <w:tcPr>
            <w:tcW w:w="1294" w:type="dxa"/>
          </w:tcPr>
          <w:p>
            <w:pPr>
              <w:pStyle w:val="TableParagraph"/>
              <w:rPr>
                <w:rFonts w:ascii="Times New Roman"/>
                <w:sz w:val="20"/>
              </w:rPr>
            </w:pPr>
          </w:p>
        </w:tc>
        <w:tc>
          <w:tcPr>
            <w:tcW w:w="1739" w:type="dxa"/>
          </w:tcPr>
          <w:p>
            <w:pPr>
              <w:pStyle w:val="TableParagraph"/>
              <w:spacing w:before="95"/>
              <w:ind w:left="445" w:right="446"/>
              <w:jc w:val="center"/>
              <w:rPr>
                <w:sz w:val="20"/>
              </w:rPr>
            </w:pPr>
            <w:r>
              <w:rPr>
                <w:sz w:val="20"/>
              </w:rPr>
              <w:t>身份证号</w:t>
            </w:r>
          </w:p>
        </w:tc>
        <w:tc>
          <w:tcPr>
            <w:tcW w:w="1979" w:type="dxa"/>
          </w:tcPr>
          <w:p>
            <w:pPr>
              <w:pStyle w:val="TableParagraph"/>
              <w:rPr>
                <w:rFonts w:ascii="Times New Roman"/>
                <w:sz w:val="20"/>
              </w:rPr>
            </w:pPr>
          </w:p>
        </w:tc>
      </w:tr>
      <w:tr>
        <w:trPr>
          <w:trHeight w:val="418" w:hRule="atLeast"/>
        </w:trPr>
        <w:tc>
          <w:tcPr>
            <w:tcW w:w="1713" w:type="dxa"/>
          </w:tcPr>
          <w:p>
            <w:pPr>
              <w:pStyle w:val="TableParagraph"/>
              <w:spacing w:before="93"/>
              <w:ind w:left="133" w:right="132"/>
              <w:jc w:val="center"/>
              <w:rPr>
                <w:sz w:val="20"/>
              </w:rPr>
            </w:pPr>
            <w:r>
              <w:rPr>
                <w:sz w:val="20"/>
              </w:rPr>
              <w:t>学历</w:t>
            </w:r>
          </w:p>
        </w:tc>
        <w:tc>
          <w:tcPr>
            <w:tcW w:w="823" w:type="dxa"/>
          </w:tcPr>
          <w:p>
            <w:pPr>
              <w:pStyle w:val="TableParagraph"/>
              <w:rPr>
                <w:rFonts w:ascii="Times New Roman"/>
                <w:sz w:val="20"/>
              </w:rPr>
            </w:pPr>
          </w:p>
        </w:tc>
        <w:tc>
          <w:tcPr>
            <w:tcW w:w="1509" w:type="dxa"/>
          </w:tcPr>
          <w:p>
            <w:pPr>
              <w:pStyle w:val="TableParagraph"/>
              <w:spacing w:before="93"/>
              <w:ind w:left="331" w:right="332"/>
              <w:jc w:val="center"/>
              <w:rPr>
                <w:sz w:val="20"/>
              </w:rPr>
            </w:pPr>
            <w:r>
              <w:rPr>
                <w:sz w:val="20"/>
              </w:rPr>
              <w:t>职称</w:t>
            </w:r>
          </w:p>
        </w:tc>
        <w:tc>
          <w:tcPr>
            <w:tcW w:w="1294" w:type="dxa"/>
          </w:tcPr>
          <w:p>
            <w:pPr>
              <w:pStyle w:val="TableParagraph"/>
              <w:rPr>
                <w:rFonts w:ascii="Times New Roman"/>
                <w:sz w:val="20"/>
              </w:rPr>
            </w:pPr>
          </w:p>
        </w:tc>
        <w:tc>
          <w:tcPr>
            <w:tcW w:w="1739" w:type="dxa"/>
          </w:tcPr>
          <w:p>
            <w:pPr>
              <w:pStyle w:val="TableParagraph"/>
              <w:spacing w:before="93"/>
              <w:ind w:left="444" w:right="447"/>
              <w:jc w:val="center"/>
              <w:rPr>
                <w:sz w:val="20"/>
              </w:rPr>
            </w:pPr>
            <w:r>
              <w:rPr>
                <w:sz w:val="20"/>
              </w:rPr>
              <w:t>工作年限</w:t>
            </w:r>
          </w:p>
        </w:tc>
        <w:tc>
          <w:tcPr>
            <w:tcW w:w="1979" w:type="dxa"/>
          </w:tcPr>
          <w:p>
            <w:pPr>
              <w:pStyle w:val="TableParagraph"/>
              <w:rPr>
                <w:rFonts w:ascii="Times New Roman"/>
                <w:sz w:val="20"/>
              </w:rPr>
            </w:pPr>
          </w:p>
        </w:tc>
      </w:tr>
      <w:tr>
        <w:trPr>
          <w:trHeight w:val="842" w:hRule="atLeast"/>
        </w:trPr>
        <w:tc>
          <w:tcPr>
            <w:tcW w:w="1713" w:type="dxa"/>
          </w:tcPr>
          <w:p>
            <w:pPr>
              <w:pStyle w:val="TableParagraph"/>
              <w:spacing w:before="7"/>
              <w:rPr>
                <w:sz w:val="23"/>
              </w:rPr>
            </w:pPr>
          </w:p>
          <w:p>
            <w:pPr>
              <w:pStyle w:val="TableParagraph"/>
              <w:spacing w:before="1"/>
              <w:ind w:left="133" w:right="134"/>
              <w:jc w:val="center"/>
              <w:rPr>
                <w:sz w:val="20"/>
              </w:rPr>
            </w:pPr>
            <w:r>
              <w:rPr>
                <w:sz w:val="20"/>
              </w:rPr>
              <w:t>拟在本项目任职</w:t>
            </w:r>
          </w:p>
        </w:tc>
        <w:tc>
          <w:tcPr>
            <w:tcW w:w="2332" w:type="dxa"/>
            <w:gridSpan w:val="2"/>
          </w:tcPr>
          <w:p>
            <w:pPr>
              <w:pStyle w:val="TableParagraph"/>
              <w:rPr>
                <w:rFonts w:ascii="Times New Roman"/>
                <w:sz w:val="20"/>
              </w:rPr>
            </w:pPr>
          </w:p>
        </w:tc>
        <w:tc>
          <w:tcPr>
            <w:tcW w:w="3033" w:type="dxa"/>
            <w:gridSpan w:val="2"/>
          </w:tcPr>
          <w:p>
            <w:pPr>
              <w:pStyle w:val="TableParagraph"/>
              <w:spacing w:before="33"/>
              <w:ind w:left="172" w:right="415"/>
              <w:jc w:val="center"/>
              <w:rPr>
                <w:sz w:val="20"/>
              </w:rPr>
            </w:pPr>
            <w:r>
              <w:rPr>
                <w:sz w:val="20"/>
              </w:rPr>
              <w:t>执业资格证（或上岗证书）</w:t>
            </w:r>
          </w:p>
          <w:p>
            <w:pPr>
              <w:pStyle w:val="TableParagraph"/>
              <w:spacing w:before="164"/>
              <w:ind w:left="172" w:right="408"/>
              <w:jc w:val="center"/>
              <w:rPr>
                <w:sz w:val="20"/>
              </w:rPr>
            </w:pPr>
            <w:r>
              <w:rPr>
                <w:sz w:val="20"/>
              </w:rPr>
              <w:t>名称</w:t>
            </w:r>
          </w:p>
        </w:tc>
        <w:tc>
          <w:tcPr>
            <w:tcW w:w="1979" w:type="dxa"/>
          </w:tcPr>
          <w:p>
            <w:pPr>
              <w:pStyle w:val="TableParagraph"/>
              <w:rPr>
                <w:rFonts w:ascii="Times New Roman"/>
                <w:sz w:val="20"/>
              </w:rPr>
            </w:pPr>
          </w:p>
        </w:tc>
      </w:tr>
      <w:tr>
        <w:trPr>
          <w:trHeight w:val="477" w:hRule="atLeast"/>
        </w:trPr>
        <w:tc>
          <w:tcPr>
            <w:tcW w:w="1713" w:type="dxa"/>
          </w:tcPr>
          <w:p>
            <w:pPr>
              <w:pStyle w:val="TableParagraph"/>
              <w:spacing w:before="122"/>
              <w:ind w:left="131" w:right="134"/>
              <w:jc w:val="center"/>
              <w:rPr>
                <w:sz w:val="20"/>
              </w:rPr>
            </w:pPr>
            <w:r>
              <w:rPr>
                <w:sz w:val="20"/>
              </w:rPr>
              <w:t>毕业学校</w:t>
            </w:r>
          </w:p>
        </w:tc>
        <w:tc>
          <w:tcPr>
            <w:tcW w:w="7344" w:type="dxa"/>
            <w:gridSpan w:val="5"/>
          </w:tcPr>
          <w:p>
            <w:pPr>
              <w:pStyle w:val="TableParagraph"/>
              <w:tabs>
                <w:tab w:pos="1362" w:val="left" w:leader="none"/>
                <w:tab w:pos="2030" w:val="left" w:leader="none"/>
                <w:tab w:pos="2800" w:val="left" w:leader="none"/>
              </w:tabs>
              <w:spacing w:before="107"/>
              <w:ind w:left="719"/>
              <w:rPr>
                <w:sz w:val="22"/>
              </w:rPr>
            </w:pPr>
            <w:r>
              <w:rPr>
                <w:spacing w:val="-5"/>
                <w:sz w:val="22"/>
              </w:rPr>
              <w:t>学</w:t>
            </w:r>
            <w:r>
              <w:rPr>
                <w:sz w:val="22"/>
              </w:rPr>
              <w:t>校</w:t>
              <w:tab/>
            </w:r>
            <w:r>
              <w:rPr>
                <w:spacing w:val="-5"/>
                <w:sz w:val="22"/>
              </w:rPr>
              <w:t>专</w:t>
            </w:r>
            <w:r>
              <w:rPr>
                <w:sz w:val="22"/>
              </w:rPr>
              <w:t>业</w:t>
              <w:tab/>
            </w:r>
            <w:r>
              <w:rPr>
                <w:spacing w:val="-5"/>
                <w:sz w:val="22"/>
              </w:rPr>
              <w:t>学</w:t>
            </w:r>
            <w:r>
              <w:rPr>
                <w:sz w:val="22"/>
              </w:rPr>
              <w:t>制</w:t>
              <w:tab/>
            </w:r>
            <w:r>
              <w:rPr>
                <w:spacing w:val="-5"/>
                <w:sz w:val="22"/>
              </w:rPr>
              <w:t>年</w:t>
            </w:r>
            <w:r>
              <w:rPr>
                <w:sz w:val="22"/>
              </w:rPr>
              <w:t>。</w:t>
            </w:r>
          </w:p>
        </w:tc>
      </w:tr>
      <w:tr>
        <w:trPr>
          <w:trHeight w:val="4594" w:hRule="atLeast"/>
        </w:trPr>
        <w:tc>
          <w:tcPr>
            <w:tcW w:w="1713" w:type="dxa"/>
            <w:textDirection w:val="tbRl"/>
          </w:tcPr>
          <w:p>
            <w:pPr>
              <w:pStyle w:val="TableParagraph"/>
              <w:rPr>
                <w:sz w:val="20"/>
              </w:rPr>
            </w:pPr>
          </w:p>
          <w:p>
            <w:pPr>
              <w:pStyle w:val="TableParagraph"/>
              <w:rPr>
                <w:sz w:val="25"/>
              </w:rPr>
            </w:pPr>
          </w:p>
          <w:p>
            <w:pPr>
              <w:pStyle w:val="TableParagraph"/>
              <w:ind w:left="1255"/>
              <w:rPr>
                <w:sz w:val="20"/>
              </w:rPr>
            </w:pPr>
            <w:r>
              <w:rPr>
                <w:sz w:val="20"/>
              </w:rPr>
              <w:t>工作简历</w:t>
            </w:r>
          </w:p>
        </w:tc>
        <w:tc>
          <w:tcPr>
            <w:tcW w:w="7344" w:type="dxa"/>
            <w:gridSpan w:val="5"/>
          </w:tcPr>
          <w:p>
            <w:pPr>
              <w:pStyle w:val="TableParagraph"/>
              <w:rPr>
                <w:rFonts w:ascii="Times New Roman"/>
                <w:sz w:val="20"/>
              </w:rPr>
            </w:pPr>
          </w:p>
        </w:tc>
      </w:tr>
    </w:tbl>
    <w:p>
      <w:pPr>
        <w:spacing w:before="31"/>
        <w:ind w:left="235" w:right="0" w:firstLine="0"/>
        <w:jc w:val="left"/>
        <w:rPr>
          <w:sz w:val="19"/>
        </w:rPr>
      </w:pPr>
      <w:r>
        <w:rPr>
          <w:sz w:val="20"/>
        </w:rPr>
        <w:t>注：</w:t>
      </w:r>
      <w:r>
        <w:rPr>
          <w:sz w:val="19"/>
        </w:rPr>
        <w:t>1、拟投入本项目的人员均须填写本简历表并附相关证明材料。</w:t>
      </w:r>
    </w:p>
    <w:p>
      <w:pPr>
        <w:spacing w:line="367" w:lineRule="auto" w:before="167"/>
        <w:ind w:left="235" w:right="985" w:firstLine="400"/>
        <w:jc w:val="left"/>
        <w:rPr>
          <w:sz w:val="19"/>
        </w:rPr>
      </w:pPr>
      <w:r>
        <w:rPr>
          <w:sz w:val="19"/>
        </w:rPr>
        <w:t>2、 申请人拟投入本项目的专业人员的排列顺序，应当与“拟任本项目专业人员情况汇总表 ”的排列顺序完全一致。</w:t>
      </w:r>
    </w:p>
    <w:p>
      <w:pPr>
        <w:spacing w:after="0" w:line="367" w:lineRule="auto"/>
        <w:jc w:val="left"/>
        <w:rPr>
          <w:sz w:val="19"/>
        </w:rPr>
        <w:sectPr>
          <w:pgSz w:w="11910" w:h="16840"/>
          <w:pgMar w:header="0" w:footer="770" w:top="1500" w:bottom="960" w:left="1300" w:right="500"/>
        </w:sectPr>
      </w:pPr>
    </w:p>
    <w:p>
      <w:pPr>
        <w:pStyle w:val="Heading7"/>
        <w:spacing w:before="36"/>
        <w:ind w:left="115"/>
        <w:rPr>
          <w:rFonts w:ascii="宋体" w:eastAsia="宋体" w:hint="eastAsia"/>
        </w:rPr>
      </w:pPr>
      <w:r>
        <w:rPr>
          <w:rFonts w:ascii="宋体" w:eastAsia="宋体" w:hint="eastAsia"/>
        </w:rPr>
        <w:t>（六）近年完成的类似项目情况表（如有）</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435"/>
        <w:gridCol w:w="6704"/>
      </w:tblGrid>
      <w:tr>
        <w:trPr>
          <w:trHeight w:val="687" w:hRule="atLeast"/>
        </w:trPr>
        <w:tc>
          <w:tcPr>
            <w:tcW w:w="2435" w:type="dxa"/>
          </w:tcPr>
          <w:p>
            <w:pPr>
              <w:pStyle w:val="TableParagraph"/>
              <w:spacing w:before="153"/>
              <w:ind w:left="823" w:right="562"/>
              <w:jc w:val="center"/>
              <w:rPr>
                <w:sz w:val="20"/>
              </w:rPr>
            </w:pPr>
            <w:r>
              <w:rPr>
                <w:sz w:val="20"/>
              </w:rPr>
              <w:t>项目名称</w:t>
            </w:r>
          </w:p>
        </w:tc>
        <w:tc>
          <w:tcPr>
            <w:tcW w:w="6704" w:type="dxa"/>
          </w:tcPr>
          <w:p>
            <w:pPr>
              <w:pStyle w:val="TableParagraph"/>
              <w:rPr>
                <w:rFonts w:ascii="Times New Roman"/>
                <w:sz w:val="20"/>
              </w:rPr>
            </w:pPr>
          </w:p>
        </w:tc>
      </w:tr>
      <w:tr>
        <w:trPr>
          <w:trHeight w:val="685" w:hRule="atLeast"/>
        </w:trPr>
        <w:tc>
          <w:tcPr>
            <w:tcW w:w="2435" w:type="dxa"/>
          </w:tcPr>
          <w:p>
            <w:pPr>
              <w:pStyle w:val="TableParagraph"/>
              <w:spacing w:before="153"/>
              <w:ind w:left="823" w:right="567"/>
              <w:jc w:val="center"/>
              <w:rPr>
                <w:sz w:val="20"/>
              </w:rPr>
            </w:pPr>
            <w:r>
              <w:rPr>
                <w:sz w:val="20"/>
              </w:rPr>
              <w:t>项目所在地</w:t>
            </w:r>
          </w:p>
        </w:tc>
        <w:tc>
          <w:tcPr>
            <w:tcW w:w="6704" w:type="dxa"/>
          </w:tcPr>
          <w:p>
            <w:pPr>
              <w:pStyle w:val="TableParagraph"/>
              <w:rPr>
                <w:rFonts w:ascii="Times New Roman"/>
                <w:sz w:val="20"/>
              </w:rPr>
            </w:pPr>
          </w:p>
        </w:tc>
      </w:tr>
      <w:tr>
        <w:trPr>
          <w:trHeight w:val="681" w:hRule="atLeast"/>
        </w:trPr>
        <w:tc>
          <w:tcPr>
            <w:tcW w:w="2435" w:type="dxa"/>
          </w:tcPr>
          <w:p>
            <w:pPr>
              <w:pStyle w:val="TableParagraph"/>
              <w:spacing w:before="148"/>
              <w:ind w:left="823" w:right="567"/>
              <w:jc w:val="center"/>
              <w:rPr>
                <w:sz w:val="20"/>
              </w:rPr>
            </w:pPr>
            <w:r>
              <w:rPr>
                <w:sz w:val="20"/>
              </w:rPr>
              <w:t>委托人名称</w:t>
            </w:r>
          </w:p>
        </w:tc>
        <w:tc>
          <w:tcPr>
            <w:tcW w:w="6704" w:type="dxa"/>
          </w:tcPr>
          <w:p>
            <w:pPr>
              <w:pStyle w:val="TableParagraph"/>
              <w:rPr>
                <w:rFonts w:ascii="Times New Roman"/>
                <w:sz w:val="20"/>
              </w:rPr>
            </w:pPr>
          </w:p>
        </w:tc>
      </w:tr>
      <w:tr>
        <w:trPr>
          <w:trHeight w:val="683" w:hRule="atLeast"/>
        </w:trPr>
        <w:tc>
          <w:tcPr>
            <w:tcW w:w="2435" w:type="dxa"/>
          </w:tcPr>
          <w:p>
            <w:pPr>
              <w:pStyle w:val="TableParagraph"/>
              <w:spacing w:before="151"/>
              <w:ind w:left="823" w:right="567"/>
              <w:jc w:val="center"/>
              <w:rPr>
                <w:sz w:val="20"/>
              </w:rPr>
            </w:pPr>
            <w:r>
              <w:rPr>
                <w:sz w:val="20"/>
              </w:rPr>
              <w:t>委托人地址</w:t>
            </w:r>
          </w:p>
        </w:tc>
        <w:tc>
          <w:tcPr>
            <w:tcW w:w="6704" w:type="dxa"/>
          </w:tcPr>
          <w:p>
            <w:pPr>
              <w:pStyle w:val="TableParagraph"/>
              <w:rPr>
                <w:rFonts w:ascii="Times New Roman"/>
                <w:sz w:val="20"/>
              </w:rPr>
            </w:pPr>
          </w:p>
        </w:tc>
      </w:tr>
      <w:tr>
        <w:trPr>
          <w:trHeight w:val="685" w:hRule="atLeast"/>
        </w:trPr>
        <w:tc>
          <w:tcPr>
            <w:tcW w:w="2435" w:type="dxa"/>
          </w:tcPr>
          <w:p>
            <w:pPr>
              <w:pStyle w:val="TableParagraph"/>
              <w:spacing w:before="153"/>
              <w:ind w:left="823" w:right="567"/>
              <w:jc w:val="center"/>
              <w:rPr>
                <w:sz w:val="20"/>
              </w:rPr>
            </w:pPr>
            <w:r>
              <w:rPr>
                <w:sz w:val="20"/>
              </w:rPr>
              <w:t>委托人电话</w:t>
            </w:r>
          </w:p>
        </w:tc>
        <w:tc>
          <w:tcPr>
            <w:tcW w:w="6704" w:type="dxa"/>
          </w:tcPr>
          <w:p>
            <w:pPr>
              <w:pStyle w:val="TableParagraph"/>
              <w:rPr>
                <w:rFonts w:ascii="Times New Roman"/>
                <w:sz w:val="20"/>
              </w:rPr>
            </w:pPr>
          </w:p>
        </w:tc>
      </w:tr>
      <w:tr>
        <w:trPr>
          <w:trHeight w:val="682" w:hRule="atLeast"/>
        </w:trPr>
        <w:tc>
          <w:tcPr>
            <w:tcW w:w="2435" w:type="dxa"/>
          </w:tcPr>
          <w:p>
            <w:pPr>
              <w:pStyle w:val="TableParagraph"/>
              <w:spacing w:before="149"/>
              <w:ind w:left="823" w:right="567"/>
              <w:jc w:val="center"/>
              <w:rPr>
                <w:sz w:val="20"/>
              </w:rPr>
            </w:pPr>
            <w:r>
              <w:rPr>
                <w:sz w:val="20"/>
              </w:rPr>
              <w:t>合同价格</w:t>
            </w:r>
          </w:p>
        </w:tc>
        <w:tc>
          <w:tcPr>
            <w:tcW w:w="6704" w:type="dxa"/>
          </w:tcPr>
          <w:p>
            <w:pPr>
              <w:pStyle w:val="TableParagraph"/>
              <w:rPr>
                <w:rFonts w:ascii="Times New Roman"/>
                <w:sz w:val="20"/>
              </w:rPr>
            </w:pPr>
          </w:p>
        </w:tc>
      </w:tr>
      <w:tr>
        <w:trPr>
          <w:trHeight w:val="682" w:hRule="atLeast"/>
        </w:trPr>
        <w:tc>
          <w:tcPr>
            <w:tcW w:w="2435" w:type="dxa"/>
          </w:tcPr>
          <w:p>
            <w:pPr>
              <w:pStyle w:val="TableParagraph"/>
              <w:spacing w:before="151"/>
              <w:ind w:left="823" w:right="567"/>
              <w:jc w:val="center"/>
              <w:rPr>
                <w:sz w:val="20"/>
              </w:rPr>
            </w:pPr>
            <w:r>
              <w:rPr>
                <w:sz w:val="20"/>
              </w:rPr>
              <w:t>服务期限</w:t>
            </w:r>
          </w:p>
        </w:tc>
        <w:tc>
          <w:tcPr>
            <w:tcW w:w="6704" w:type="dxa"/>
          </w:tcPr>
          <w:p>
            <w:pPr>
              <w:pStyle w:val="TableParagraph"/>
              <w:rPr>
                <w:rFonts w:ascii="Times New Roman"/>
                <w:sz w:val="20"/>
              </w:rPr>
            </w:pPr>
          </w:p>
        </w:tc>
      </w:tr>
      <w:tr>
        <w:trPr>
          <w:trHeight w:val="686" w:hRule="atLeast"/>
        </w:trPr>
        <w:tc>
          <w:tcPr>
            <w:tcW w:w="2435" w:type="dxa"/>
          </w:tcPr>
          <w:p>
            <w:pPr>
              <w:pStyle w:val="TableParagraph"/>
              <w:spacing w:before="153"/>
              <w:ind w:left="823" w:right="567"/>
              <w:jc w:val="center"/>
              <w:rPr>
                <w:sz w:val="20"/>
              </w:rPr>
            </w:pPr>
            <w:r>
              <w:rPr>
                <w:sz w:val="20"/>
              </w:rPr>
              <w:t>验收内容</w:t>
            </w:r>
          </w:p>
        </w:tc>
        <w:tc>
          <w:tcPr>
            <w:tcW w:w="6704" w:type="dxa"/>
          </w:tcPr>
          <w:p>
            <w:pPr>
              <w:pStyle w:val="TableParagraph"/>
              <w:rPr>
                <w:rFonts w:ascii="Times New Roman"/>
                <w:sz w:val="20"/>
              </w:rPr>
            </w:pPr>
          </w:p>
        </w:tc>
      </w:tr>
      <w:tr>
        <w:trPr>
          <w:trHeight w:val="681" w:hRule="atLeast"/>
        </w:trPr>
        <w:tc>
          <w:tcPr>
            <w:tcW w:w="2435" w:type="dxa"/>
          </w:tcPr>
          <w:p>
            <w:pPr>
              <w:pStyle w:val="TableParagraph"/>
              <w:spacing w:before="151"/>
              <w:ind w:left="823" w:right="567"/>
              <w:jc w:val="center"/>
              <w:rPr>
                <w:sz w:val="20"/>
              </w:rPr>
            </w:pPr>
            <w:r>
              <w:rPr>
                <w:sz w:val="20"/>
              </w:rPr>
              <w:t>项目负责人</w:t>
            </w:r>
          </w:p>
        </w:tc>
        <w:tc>
          <w:tcPr>
            <w:tcW w:w="6704" w:type="dxa"/>
          </w:tcPr>
          <w:p>
            <w:pPr>
              <w:pStyle w:val="TableParagraph"/>
              <w:rPr>
                <w:rFonts w:ascii="Times New Roman"/>
                <w:sz w:val="20"/>
              </w:rPr>
            </w:pPr>
          </w:p>
        </w:tc>
      </w:tr>
      <w:tr>
        <w:trPr>
          <w:trHeight w:val="3110" w:hRule="atLeast"/>
        </w:trPr>
        <w:tc>
          <w:tcPr>
            <w:tcW w:w="243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
              <w:rPr>
                <w:sz w:val="26"/>
              </w:rPr>
            </w:pPr>
          </w:p>
          <w:p>
            <w:pPr>
              <w:pStyle w:val="TableParagraph"/>
              <w:ind w:left="823" w:right="562"/>
              <w:jc w:val="center"/>
              <w:rPr>
                <w:sz w:val="20"/>
              </w:rPr>
            </w:pPr>
            <w:r>
              <w:rPr>
                <w:sz w:val="20"/>
              </w:rPr>
              <w:t>项目描述</w:t>
            </w:r>
          </w:p>
        </w:tc>
        <w:tc>
          <w:tcPr>
            <w:tcW w:w="6704" w:type="dxa"/>
          </w:tcPr>
          <w:p>
            <w:pPr>
              <w:pStyle w:val="TableParagraph"/>
              <w:rPr>
                <w:rFonts w:ascii="Times New Roman"/>
                <w:sz w:val="20"/>
              </w:rPr>
            </w:pPr>
          </w:p>
        </w:tc>
      </w:tr>
      <w:tr>
        <w:trPr>
          <w:trHeight w:val="692" w:hRule="atLeast"/>
        </w:trPr>
        <w:tc>
          <w:tcPr>
            <w:tcW w:w="2435" w:type="dxa"/>
          </w:tcPr>
          <w:p>
            <w:pPr>
              <w:pStyle w:val="TableParagraph"/>
              <w:spacing w:before="153"/>
              <w:ind w:left="823" w:right="562"/>
              <w:jc w:val="center"/>
              <w:rPr>
                <w:sz w:val="20"/>
              </w:rPr>
            </w:pPr>
            <w:r>
              <w:rPr>
                <w:sz w:val="20"/>
              </w:rPr>
              <w:t>备注</w:t>
            </w:r>
          </w:p>
        </w:tc>
        <w:tc>
          <w:tcPr>
            <w:tcW w:w="6704" w:type="dxa"/>
          </w:tcPr>
          <w:p>
            <w:pPr>
              <w:pStyle w:val="TableParagraph"/>
              <w:rPr>
                <w:rFonts w:ascii="Times New Roman"/>
                <w:sz w:val="20"/>
              </w:rPr>
            </w:pPr>
          </w:p>
        </w:tc>
      </w:tr>
    </w:tbl>
    <w:p>
      <w:pPr>
        <w:pStyle w:val="BodyText"/>
        <w:spacing w:before="123"/>
        <w:ind w:left="492"/>
      </w:pPr>
      <w:r>
        <w:rPr/>
        <w:t>注：投标人应根据投标人须知第 </w:t>
      </w:r>
      <w:r>
        <w:rPr>
          <w:rFonts w:ascii="Times New Roman" w:eastAsia="Times New Roman"/>
        </w:rPr>
        <w:t>3.5.3 </w:t>
      </w:r>
      <w:r>
        <w:rPr/>
        <w:t>项的要求在本表后附相关证明材料。</w:t>
      </w:r>
    </w:p>
    <w:p>
      <w:pPr>
        <w:spacing w:after="0"/>
        <w:sectPr>
          <w:pgSz w:w="11910" w:h="16840"/>
          <w:pgMar w:header="0" w:footer="770" w:top="1500" w:bottom="960" w:left="1300" w:right="500"/>
        </w:sectPr>
      </w:pPr>
    </w:p>
    <w:p>
      <w:pPr>
        <w:pStyle w:val="Heading7"/>
        <w:spacing w:before="36"/>
        <w:ind w:left="780"/>
        <w:rPr>
          <w:rFonts w:ascii="宋体" w:eastAsia="宋体" w:hint="eastAsia"/>
        </w:rPr>
      </w:pPr>
      <w:r>
        <w:rPr>
          <w:rFonts w:ascii="宋体" w:eastAsia="宋体" w:hint="eastAsia"/>
        </w:rPr>
        <w:t>（七）正在执行和新承接的项目情况表（如有）</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403"/>
        <w:gridCol w:w="6616"/>
      </w:tblGrid>
      <w:tr>
        <w:trPr>
          <w:trHeight w:val="689" w:hRule="atLeast"/>
        </w:trPr>
        <w:tc>
          <w:tcPr>
            <w:tcW w:w="2403" w:type="dxa"/>
          </w:tcPr>
          <w:p>
            <w:pPr>
              <w:pStyle w:val="TableParagraph"/>
              <w:spacing w:before="153"/>
              <w:ind w:left="823" w:right="530"/>
              <w:jc w:val="center"/>
              <w:rPr>
                <w:sz w:val="20"/>
              </w:rPr>
            </w:pPr>
            <w:r>
              <w:rPr>
                <w:sz w:val="20"/>
              </w:rPr>
              <w:t>项目名称</w:t>
            </w:r>
          </w:p>
        </w:tc>
        <w:tc>
          <w:tcPr>
            <w:tcW w:w="6616" w:type="dxa"/>
          </w:tcPr>
          <w:p>
            <w:pPr>
              <w:pStyle w:val="TableParagraph"/>
              <w:rPr>
                <w:rFonts w:ascii="Times New Roman"/>
                <w:sz w:val="20"/>
              </w:rPr>
            </w:pPr>
          </w:p>
        </w:tc>
      </w:tr>
      <w:tr>
        <w:trPr>
          <w:trHeight w:val="687" w:hRule="atLeast"/>
        </w:trPr>
        <w:tc>
          <w:tcPr>
            <w:tcW w:w="2403" w:type="dxa"/>
          </w:tcPr>
          <w:p>
            <w:pPr>
              <w:pStyle w:val="TableParagraph"/>
              <w:spacing w:before="151"/>
              <w:ind w:left="823" w:right="535"/>
              <w:jc w:val="center"/>
              <w:rPr>
                <w:sz w:val="20"/>
              </w:rPr>
            </w:pPr>
            <w:r>
              <w:rPr>
                <w:sz w:val="20"/>
              </w:rPr>
              <w:t>项目所在地</w:t>
            </w:r>
          </w:p>
        </w:tc>
        <w:tc>
          <w:tcPr>
            <w:tcW w:w="6616" w:type="dxa"/>
          </w:tcPr>
          <w:p>
            <w:pPr>
              <w:pStyle w:val="TableParagraph"/>
              <w:rPr>
                <w:rFonts w:ascii="Times New Roman"/>
                <w:sz w:val="20"/>
              </w:rPr>
            </w:pPr>
          </w:p>
        </w:tc>
      </w:tr>
      <w:tr>
        <w:trPr>
          <w:trHeight w:val="683" w:hRule="atLeast"/>
        </w:trPr>
        <w:tc>
          <w:tcPr>
            <w:tcW w:w="2403" w:type="dxa"/>
          </w:tcPr>
          <w:p>
            <w:pPr>
              <w:pStyle w:val="TableParagraph"/>
              <w:spacing w:before="147"/>
              <w:ind w:left="823" w:right="535"/>
              <w:jc w:val="center"/>
              <w:rPr>
                <w:sz w:val="20"/>
              </w:rPr>
            </w:pPr>
            <w:r>
              <w:rPr>
                <w:sz w:val="20"/>
              </w:rPr>
              <w:t>委托人名称</w:t>
            </w:r>
          </w:p>
        </w:tc>
        <w:tc>
          <w:tcPr>
            <w:tcW w:w="6616" w:type="dxa"/>
          </w:tcPr>
          <w:p>
            <w:pPr>
              <w:pStyle w:val="TableParagraph"/>
              <w:rPr>
                <w:rFonts w:ascii="Times New Roman"/>
                <w:sz w:val="20"/>
              </w:rPr>
            </w:pPr>
          </w:p>
        </w:tc>
      </w:tr>
      <w:tr>
        <w:trPr>
          <w:trHeight w:val="686" w:hRule="atLeast"/>
        </w:trPr>
        <w:tc>
          <w:tcPr>
            <w:tcW w:w="2403" w:type="dxa"/>
          </w:tcPr>
          <w:p>
            <w:pPr>
              <w:pStyle w:val="TableParagraph"/>
              <w:spacing w:before="150"/>
              <w:ind w:left="823" w:right="535"/>
              <w:jc w:val="center"/>
              <w:rPr>
                <w:sz w:val="20"/>
              </w:rPr>
            </w:pPr>
            <w:r>
              <w:rPr>
                <w:sz w:val="20"/>
              </w:rPr>
              <w:t>委托人地址</w:t>
            </w:r>
          </w:p>
        </w:tc>
        <w:tc>
          <w:tcPr>
            <w:tcW w:w="6616" w:type="dxa"/>
          </w:tcPr>
          <w:p>
            <w:pPr>
              <w:pStyle w:val="TableParagraph"/>
              <w:rPr>
                <w:rFonts w:ascii="Times New Roman"/>
                <w:sz w:val="20"/>
              </w:rPr>
            </w:pPr>
          </w:p>
        </w:tc>
      </w:tr>
      <w:tr>
        <w:trPr>
          <w:trHeight w:val="686" w:hRule="atLeast"/>
        </w:trPr>
        <w:tc>
          <w:tcPr>
            <w:tcW w:w="2403" w:type="dxa"/>
          </w:tcPr>
          <w:p>
            <w:pPr>
              <w:pStyle w:val="TableParagraph"/>
              <w:spacing w:before="150"/>
              <w:ind w:left="823" w:right="535"/>
              <w:jc w:val="center"/>
              <w:rPr>
                <w:sz w:val="20"/>
              </w:rPr>
            </w:pPr>
            <w:r>
              <w:rPr>
                <w:sz w:val="20"/>
              </w:rPr>
              <w:t>委托人电话</w:t>
            </w:r>
          </w:p>
        </w:tc>
        <w:tc>
          <w:tcPr>
            <w:tcW w:w="6616" w:type="dxa"/>
          </w:tcPr>
          <w:p>
            <w:pPr>
              <w:pStyle w:val="TableParagraph"/>
              <w:rPr>
                <w:rFonts w:ascii="Times New Roman"/>
                <w:sz w:val="20"/>
              </w:rPr>
            </w:pPr>
          </w:p>
        </w:tc>
      </w:tr>
      <w:tr>
        <w:trPr>
          <w:trHeight w:val="684" w:hRule="atLeast"/>
        </w:trPr>
        <w:tc>
          <w:tcPr>
            <w:tcW w:w="2403" w:type="dxa"/>
          </w:tcPr>
          <w:p>
            <w:pPr>
              <w:pStyle w:val="TableParagraph"/>
              <w:spacing w:before="147"/>
              <w:ind w:left="823" w:right="535"/>
              <w:jc w:val="center"/>
              <w:rPr>
                <w:sz w:val="20"/>
              </w:rPr>
            </w:pPr>
            <w:r>
              <w:rPr>
                <w:sz w:val="20"/>
              </w:rPr>
              <w:t>签约合同价</w:t>
            </w:r>
          </w:p>
        </w:tc>
        <w:tc>
          <w:tcPr>
            <w:tcW w:w="6616" w:type="dxa"/>
          </w:tcPr>
          <w:p>
            <w:pPr>
              <w:pStyle w:val="TableParagraph"/>
              <w:rPr>
                <w:rFonts w:ascii="Times New Roman"/>
                <w:sz w:val="20"/>
              </w:rPr>
            </w:pPr>
          </w:p>
        </w:tc>
      </w:tr>
      <w:tr>
        <w:trPr>
          <w:trHeight w:val="683" w:hRule="atLeast"/>
        </w:trPr>
        <w:tc>
          <w:tcPr>
            <w:tcW w:w="2403" w:type="dxa"/>
          </w:tcPr>
          <w:p>
            <w:pPr>
              <w:pStyle w:val="TableParagraph"/>
              <w:spacing w:before="149"/>
              <w:ind w:left="823" w:right="535"/>
              <w:jc w:val="center"/>
              <w:rPr>
                <w:sz w:val="20"/>
              </w:rPr>
            </w:pPr>
            <w:r>
              <w:rPr>
                <w:sz w:val="20"/>
              </w:rPr>
              <w:t>服务期限</w:t>
            </w:r>
          </w:p>
        </w:tc>
        <w:tc>
          <w:tcPr>
            <w:tcW w:w="6616" w:type="dxa"/>
          </w:tcPr>
          <w:p>
            <w:pPr>
              <w:pStyle w:val="TableParagraph"/>
              <w:rPr>
                <w:rFonts w:ascii="Times New Roman"/>
                <w:sz w:val="20"/>
              </w:rPr>
            </w:pPr>
          </w:p>
        </w:tc>
      </w:tr>
      <w:tr>
        <w:trPr>
          <w:trHeight w:val="688" w:hRule="atLeast"/>
        </w:trPr>
        <w:tc>
          <w:tcPr>
            <w:tcW w:w="2403" w:type="dxa"/>
          </w:tcPr>
          <w:p>
            <w:pPr>
              <w:pStyle w:val="TableParagraph"/>
              <w:spacing w:before="151"/>
              <w:ind w:left="823" w:right="535"/>
              <w:jc w:val="center"/>
              <w:rPr>
                <w:sz w:val="20"/>
              </w:rPr>
            </w:pPr>
            <w:r>
              <w:rPr>
                <w:sz w:val="20"/>
              </w:rPr>
              <w:t>验收内容</w:t>
            </w:r>
          </w:p>
        </w:tc>
        <w:tc>
          <w:tcPr>
            <w:tcW w:w="6616" w:type="dxa"/>
          </w:tcPr>
          <w:p>
            <w:pPr>
              <w:pStyle w:val="TableParagraph"/>
              <w:rPr>
                <w:rFonts w:ascii="Times New Roman"/>
                <w:sz w:val="20"/>
              </w:rPr>
            </w:pPr>
          </w:p>
        </w:tc>
      </w:tr>
      <w:tr>
        <w:trPr>
          <w:trHeight w:val="683" w:hRule="atLeast"/>
        </w:trPr>
        <w:tc>
          <w:tcPr>
            <w:tcW w:w="2403" w:type="dxa"/>
          </w:tcPr>
          <w:p>
            <w:pPr>
              <w:pStyle w:val="TableParagraph"/>
              <w:spacing w:before="149"/>
              <w:ind w:left="823" w:right="535"/>
              <w:jc w:val="center"/>
              <w:rPr>
                <w:sz w:val="20"/>
              </w:rPr>
            </w:pPr>
            <w:r>
              <w:rPr>
                <w:sz w:val="20"/>
              </w:rPr>
              <w:t>项目负责人</w:t>
            </w:r>
          </w:p>
        </w:tc>
        <w:tc>
          <w:tcPr>
            <w:tcW w:w="6616" w:type="dxa"/>
          </w:tcPr>
          <w:p>
            <w:pPr>
              <w:pStyle w:val="TableParagraph"/>
              <w:rPr>
                <w:rFonts w:ascii="Times New Roman"/>
                <w:sz w:val="20"/>
              </w:rPr>
            </w:pPr>
          </w:p>
        </w:tc>
      </w:tr>
      <w:tr>
        <w:trPr>
          <w:trHeight w:val="3116" w:hRule="atLeast"/>
        </w:trPr>
        <w:tc>
          <w:tcPr>
            <w:tcW w:w="2403"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5"/>
              </w:rPr>
            </w:pPr>
          </w:p>
          <w:p>
            <w:pPr>
              <w:pStyle w:val="TableParagraph"/>
              <w:ind w:left="823" w:right="530"/>
              <w:jc w:val="center"/>
              <w:rPr>
                <w:sz w:val="20"/>
              </w:rPr>
            </w:pPr>
            <w:r>
              <w:rPr>
                <w:sz w:val="20"/>
              </w:rPr>
              <w:t>项目描述</w:t>
            </w:r>
          </w:p>
        </w:tc>
        <w:tc>
          <w:tcPr>
            <w:tcW w:w="6616" w:type="dxa"/>
          </w:tcPr>
          <w:p>
            <w:pPr>
              <w:pStyle w:val="TableParagraph"/>
              <w:rPr>
                <w:rFonts w:ascii="Times New Roman"/>
                <w:sz w:val="20"/>
              </w:rPr>
            </w:pPr>
          </w:p>
        </w:tc>
      </w:tr>
      <w:tr>
        <w:trPr>
          <w:trHeight w:val="694" w:hRule="atLeast"/>
        </w:trPr>
        <w:tc>
          <w:tcPr>
            <w:tcW w:w="2403" w:type="dxa"/>
          </w:tcPr>
          <w:p>
            <w:pPr>
              <w:pStyle w:val="TableParagraph"/>
              <w:spacing w:before="152"/>
              <w:ind w:left="823" w:right="530"/>
              <w:jc w:val="center"/>
              <w:rPr>
                <w:sz w:val="20"/>
              </w:rPr>
            </w:pPr>
            <w:r>
              <w:rPr>
                <w:sz w:val="20"/>
              </w:rPr>
              <w:t>备注</w:t>
            </w:r>
          </w:p>
        </w:tc>
        <w:tc>
          <w:tcPr>
            <w:tcW w:w="6616" w:type="dxa"/>
          </w:tcPr>
          <w:p>
            <w:pPr>
              <w:pStyle w:val="TableParagraph"/>
              <w:rPr>
                <w:rFonts w:ascii="Times New Roman"/>
                <w:sz w:val="20"/>
              </w:rPr>
            </w:pPr>
          </w:p>
        </w:tc>
      </w:tr>
    </w:tbl>
    <w:p>
      <w:pPr>
        <w:pStyle w:val="BodyText"/>
        <w:spacing w:before="123"/>
        <w:ind w:left="492"/>
      </w:pPr>
      <w:r>
        <w:rPr/>
        <w:t>注：投标人应根据投标人须知第 </w:t>
      </w:r>
      <w:r>
        <w:rPr>
          <w:rFonts w:ascii="Times New Roman" w:eastAsia="Times New Roman"/>
        </w:rPr>
        <w:t>3.5.4 </w:t>
      </w:r>
      <w:r>
        <w:rPr/>
        <w:t>项的要求在本表后附相关证明材料。</w:t>
      </w:r>
    </w:p>
    <w:p>
      <w:pPr>
        <w:spacing w:after="0"/>
        <w:sectPr>
          <w:pgSz w:w="11910" w:h="16840"/>
          <w:pgMar w:header="0" w:footer="770" w:top="1500" w:bottom="960" w:left="1300" w:right="500"/>
        </w:sectPr>
      </w:pPr>
    </w:p>
    <w:p>
      <w:pPr>
        <w:pStyle w:val="Heading3"/>
        <w:spacing w:line="569" w:lineRule="exact"/>
        <w:ind w:left="1983"/>
        <w:rPr>
          <w:rFonts w:ascii="Microsoft JhengHei" w:eastAsia="Microsoft JhengHei" w:hint="eastAsia"/>
        </w:rPr>
      </w:pPr>
      <w:r>
        <w:rPr>
          <w:rFonts w:ascii="Microsoft JhengHei" w:eastAsia="Microsoft JhengHei" w:hint="eastAsia"/>
        </w:rPr>
        <w:t>六、投标人认为有必要提供的其他资料</w:t>
      </w:r>
    </w:p>
    <w:p>
      <w:pPr>
        <w:spacing w:after="0" w:line="569" w:lineRule="exact"/>
        <w:rPr>
          <w:rFonts w:ascii="Microsoft JhengHei" w:eastAsia="Microsoft JhengHei" w:hint="eastAsia"/>
        </w:rPr>
        <w:sectPr>
          <w:pgSz w:w="11910" w:h="16840"/>
          <w:pgMar w:header="0" w:footer="770" w:top="1300" w:bottom="960" w:left="1300" w:right="500"/>
        </w:sectPr>
      </w:pPr>
    </w:p>
    <w:p>
      <w:pPr>
        <w:pStyle w:val="BodyText"/>
        <w:rPr>
          <w:rFonts w:ascii="Microsoft JhengHei"/>
          <w:b/>
          <w:sz w:val="29"/>
        </w:rPr>
      </w:pPr>
    </w:p>
    <w:p>
      <w:pPr>
        <w:pStyle w:val="Heading9"/>
        <w:ind w:firstLine="0"/>
      </w:pPr>
      <w:r>
        <w:rPr/>
        <w:t>包括但不限于</w:t>
      </w:r>
    </w:p>
    <w:p>
      <w:pPr>
        <w:pStyle w:val="Heading3"/>
        <w:spacing w:line="569" w:lineRule="exact"/>
        <w:ind w:left="115"/>
        <w:rPr>
          <w:rFonts w:ascii="Microsoft JhengHei" w:eastAsia="Microsoft JhengHei" w:hint="eastAsia"/>
        </w:rPr>
      </w:pPr>
      <w:r>
        <w:rPr>
          <w:b w:val="0"/>
        </w:rPr>
        <w:br w:type="column"/>
      </w:r>
      <w:r>
        <w:rPr>
          <w:rFonts w:ascii="Microsoft JhengHei" w:eastAsia="Microsoft JhengHei" w:hint="eastAsia"/>
        </w:rPr>
        <w:t>七、服务方案</w:t>
      </w:r>
    </w:p>
    <w:p>
      <w:pPr>
        <w:spacing w:after="0" w:line="569" w:lineRule="exact"/>
        <w:rPr>
          <w:rFonts w:ascii="Microsoft JhengHei" w:eastAsia="Microsoft JhengHei" w:hint="eastAsia"/>
        </w:rPr>
        <w:sectPr>
          <w:footerReference w:type="default" r:id="rId28"/>
          <w:pgSz w:w="11910" w:h="16840"/>
          <w:pgMar w:footer="770" w:header="0" w:top="1300" w:bottom="960" w:left="1300" w:right="500"/>
          <w:pgNumType w:start="70"/>
          <w:cols w:num="2" w:equalWidth="0">
            <w:col w:w="1597" w:space="1999"/>
            <w:col w:w="6514"/>
          </w:cols>
        </w:sectPr>
      </w:pPr>
    </w:p>
    <w:p>
      <w:pPr>
        <w:pStyle w:val="Heading9"/>
        <w:spacing w:before="160"/>
        <w:ind w:left="595" w:firstLine="0"/>
      </w:pPr>
      <w:r>
        <w:rPr/>
        <w:t>（一）日常运行维护服务方案及保障措施</w:t>
      </w:r>
    </w:p>
    <w:p>
      <w:pPr>
        <w:pStyle w:val="Heading9"/>
        <w:spacing w:before="158"/>
        <w:ind w:left="595" w:firstLine="0"/>
      </w:pPr>
      <w:r>
        <w:rPr/>
        <w:t>（二）技改、更新及维修服务方案及保障措施方案</w:t>
      </w:r>
    </w:p>
    <w:p>
      <w:pPr>
        <w:pStyle w:val="Heading9"/>
        <w:spacing w:before="161"/>
        <w:ind w:left="595" w:firstLine="0"/>
      </w:pPr>
      <w:r>
        <w:rPr/>
        <w:t>（三）事故处理和应急响应服务方案及保障措施</w:t>
      </w:r>
    </w:p>
    <w:p>
      <w:pPr>
        <w:pStyle w:val="Heading9"/>
        <w:spacing w:before="158"/>
        <w:ind w:left="595" w:firstLine="0"/>
      </w:pPr>
      <w:r>
        <w:rPr/>
        <w:t>（四）管理制度</w:t>
      </w:r>
    </w:p>
    <w:p>
      <w:pPr>
        <w:pStyle w:val="Heading9"/>
        <w:spacing w:before="161"/>
        <w:ind w:left="595" w:firstLine="0"/>
      </w:pPr>
      <w:r>
        <w:rPr/>
        <w:t>（五）运维人员配置状况</w:t>
      </w:r>
    </w:p>
    <w:sectPr>
      <w:type w:val="continuous"/>
      <w:pgSz w:w="11910" w:h="16840"/>
      <w:pgMar w:top="1580" w:bottom="280" w:left="13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黑体">
    <w:altName w:val="黑体"/>
    <w:charset w:val="86"/>
    <w:family w:val="modern"/>
    <w:pitch w:val="fixed"/>
  </w:font>
  <w:font w:name="宋体">
    <w:altName w:val="宋体"/>
    <w:charset w:val="86"/>
    <w:family w:val="auto"/>
    <w:pitch w:val="variable"/>
  </w:font>
  <w:font w:name="Arial">
    <w:altName w:val="Arial"/>
    <w:charset w:val="0"/>
    <w:family w:val="swiss"/>
    <w:pitch w:val="variable"/>
  </w:font>
  <w:font w:name="仿宋">
    <w:altName w:val="仿宋"/>
    <w:charset w:val="86"/>
    <w:family w:val="modern"/>
    <w:pitch w:val="fixed"/>
  </w:font>
  <w:font w:name="Microsoft JhengHei">
    <w:altName w:val="Microsoft JhengHei"/>
    <w:charset w:val="0"/>
    <w:family w:val="swiss"/>
    <w:pitch w:val="variable"/>
  </w:font>
  <w:font w:name="MS Gothic">
    <w:altName w:val="MS Gothic"/>
    <w:charset w:val="0"/>
    <w:family w:val="modern"/>
    <w:pitch w:val="fixed"/>
  </w:font>
  <w:font w:name="MS UI Gothic">
    <w:altName w:val="MS UI Goth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93.200012pt;margin-top:792.382568pt;width:9.050pt;height:12.1pt;mso-position-horizontal-relative:page;mso-position-vertical-relative:page;z-index:-134224" type="#_x0000_t202" filled="false" stroked="false">
          <v:textbox inset="0,0,0,0">
            <w:txbxContent>
              <w:p>
                <w:pPr>
                  <w:spacing w:before="14"/>
                  <w:ind w:left="40" w:right="0" w:firstLine="0"/>
                  <w:jc w:val="left"/>
                  <w:rPr>
                    <w:rFonts w:ascii="Arial"/>
                    <w:sz w:val="18"/>
                  </w:rPr>
                </w:pPr>
                <w:r>
                  <w:rPr/>
                  <w:fldChar w:fldCharType="begin"/>
                </w:r>
                <w:r>
                  <w:rPr>
                    <w:rFonts w:ascii="Arial"/>
                    <w:sz w:val="18"/>
                  </w:rPr>
                  <w:instrText> PAGE </w:instrText>
                </w:r>
                <w:r>
                  <w:rPr/>
                  <w:fldChar w:fldCharType="separate"/>
                </w:r>
                <w:r>
                  <w:rPr/>
                  <w:t>5</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679993pt;margin-top:792.382568pt;width:14.05pt;height:12.1pt;mso-position-horizontal-relative:page;mso-position-vertical-relative:page;z-index:-134008" type="#_x0000_t202" filled="false" stroked="false">
          <v:textbox inset="0,0,0,0">
            <w:txbxContent>
              <w:p>
                <w:pPr>
                  <w:spacing w:before="14"/>
                  <w:ind w:left="40" w:right="0" w:firstLine="0"/>
                  <w:jc w:val="left"/>
                  <w:rPr>
                    <w:rFonts w:ascii="Arial"/>
                    <w:sz w:val="18"/>
                  </w:rPr>
                </w:pPr>
                <w:r>
                  <w:rPr/>
                  <w:fldChar w:fldCharType="begin"/>
                </w:r>
                <w:r>
                  <w:rPr>
                    <w:rFonts w:ascii="Arial"/>
                    <w:sz w:val="18"/>
                  </w:rPr>
                  <w:instrText> PAGE </w:instrText>
                </w:r>
                <w:r>
                  <w:rPr/>
                  <w:fldChar w:fldCharType="separate"/>
                </w:r>
                <w:r>
                  <w:rPr/>
                  <w:t>70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679993pt;margin-top:792.382568pt;width:14.05pt;height:12.1pt;mso-position-horizontal-relative:page;mso-position-vertical-relative:page;z-index:-134200" type="#_x0000_t202" filled="false" stroked="false">
          <v:textbox inset="0,0,0,0">
            <w:txbxContent>
              <w:p>
                <w:pPr>
                  <w:spacing w:before="14"/>
                  <w:ind w:left="40" w:right="0" w:firstLine="0"/>
                  <w:jc w:val="left"/>
                  <w:rPr>
                    <w:rFonts w:ascii="Arial"/>
                    <w:sz w:val="18"/>
                  </w:rPr>
                </w:pPr>
                <w:r>
                  <w:rPr/>
                  <w:fldChar w:fldCharType="begin"/>
                </w:r>
                <w:r>
                  <w:rPr>
                    <w:rFonts w:ascii="Arial"/>
                    <w:sz w:val="18"/>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0.679993pt;margin-top:792.382568pt;width:14.05pt;height:12.3pt;mso-position-horizontal-relative:page;mso-position-vertical-relative:page;z-index:-134176" type="#_x0000_t202" filled="false" stroked="false">
          <v:textbox inset="0,0,0,0">
            <w:txbxContent>
              <w:p>
                <w:pPr>
                  <w:spacing w:before="19"/>
                  <w:ind w:left="40" w:right="0" w:firstLine="0"/>
                  <w:jc w:val="left"/>
                  <w:rPr>
                    <w:rFonts w:ascii="Arial"/>
                    <w:sz w:val="18"/>
                  </w:rPr>
                </w:pPr>
                <w:r>
                  <w:rPr/>
                  <w:fldChar w:fldCharType="begin"/>
                </w:r>
                <w:r>
                  <w:rPr>
                    <w:rFonts w:ascii="Arial"/>
                    <w:sz w:val="18"/>
                  </w:rPr>
                  <w:instrText> PAGE </w:instrText>
                </w:r>
                <w:r>
                  <w:rPr/>
                  <w:fldChar w:fldCharType="separate"/>
                </w:r>
                <w:r>
                  <w:rPr/>
                  <w:t>27</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290.679993pt;margin-top:792.621582pt;width:14.05pt;height:12.1pt;mso-position-horizontal-relative:page;mso-position-vertical-relative:page;z-index:-134152" type="#_x0000_t202" filled="false" stroked="false">
          <v:textbox inset="0,0,0,0">
            <w:txbxContent>
              <w:p>
                <w:pPr>
                  <w:spacing w:before="14"/>
                  <w:ind w:left="40" w:right="0" w:firstLine="0"/>
                  <w:jc w:val="left"/>
                  <w:rPr>
                    <w:rFonts w:ascii="Arial"/>
                    <w:sz w:val="18"/>
                  </w:rPr>
                </w:pPr>
                <w:r>
                  <w:rPr/>
                  <w:fldChar w:fldCharType="begin"/>
                </w:r>
                <w:r>
                  <w:rPr>
                    <w:rFonts w:ascii="Arial"/>
                    <w:sz w:val="18"/>
                  </w:rPr>
                  <w:instrText> PAGE </w:instrText>
                </w:r>
                <w:r>
                  <w:rPr/>
                  <w:fldChar w:fldCharType="separate"/>
                </w:r>
                <w:r>
                  <w:rPr/>
                  <w:t>31</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679993pt;margin-top:783.502563pt;width:14.05pt;height:12.1pt;mso-position-horizontal-relative:page;mso-position-vertical-relative:page;z-index:-134128" type="#_x0000_t202" filled="false" stroked="false">
          <v:textbox inset="0,0,0,0">
            <w:txbxContent>
              <w:p>
                <w:pPr>
                  <w:spacing w:before="14"/>
                  <w:ind w:left="40" w:right="0" w:firstLine="0"/>
                  <w:jc w:val="left"/>
                  <w:rPr>
                    <w:rFonts w:ascii="Arial"/>
                    <w:sz w:val="18"/>
                  </w:rPr>
                </w:pPr>
                <w:r>
                  <w:rPr/>
                  <w:fldChar w:fldCharType="begin"/>
                </w:r>
                <w:r>
                  <w:rPr>
                    <w:rFonts w:ascii="Arial"/>
                    <w:sz w:val="18"/>
                  </w:rPr>
                  <w:instrText> PAGE </w:instrText>
                </w:r>
                <w:r>
                  <w:rPr/>
                  <w:fldChar w:fldCharType="separate"/>
                </w:r>
                <w:r>
                  <w:rPr/>
                  <w:t>34</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679993pt;margin-top:792.382568pt;width:14.05pt;height:12.1pt;mso-position-horizontal-relative:page;mso-position-vertical-relative:page;z-index:-134104" type="#_x0000_t202" filled="false" stroked="false">
          <v:textbox inset="0,0,0,0">
            <w:txbxContent>
              <w:p>
                <w:pPr>
                  <w:spacing w:before="14"/>
                  <w:ind w:left="40" w:right="0" w:firstLine="0"/>
                  <w:jc w:val="left"/>
                  <w:rPr>
                    <w:rFonts w:ascii="Arial"/>
                    <w:sz w:val="18"/>
                  </w:rPr>
                </w:pPr>
                <w:r>
                  <w:rPr/>
                  <w:fldChar w:fldCharType="begin"/>
                </w:r>
                <w:r>
                  <w:rPr>
                    <w:rFonts w:ascii="Arial"/>
                    <w:sz w:val="18"/>
                  </w:rPr>
                  <w:instrText> PAGE </w:instrText>
                </w:r>
                <w:r>
                  <w:rPr/>
                  <w:fldChar w:fldCharType="separate"/>
                </w:r>
                <w:r>
                  <w:rPr/>
                  <w:t>37</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679993pt;margin-top:792.382568pt;width:14.05pt;height:12.1pt;mso-position-horizontal-relative:page;mso-position-vertical-relative:page;z-index:-134080" type="#_x0000_t202" filled="false" stroked="false">
          <v:textbox inset="0,0,0,0">
            <w:txbxContent>
              <w:p>
                <w:pPr>
                  <w:spacing w:before="14"/>
                  <w:ind w:left="40" w:right="0" w:firstLine="0"/>
                  <w:jc w:val="left"/>
                  <w:rPr>
                    <w:rFonts w:ascii="Arial"/>
                    <w:sz w:val="18"/>
                  </w:rPr>
                </w:pPr>
                <w:r>
                  <w:rPr/>
                  <w:fldChar w:fldCharType="begin"/>
                </w:r>
                <w:r>
                  <w:rPr>
                    <w:rFonts w:ascii="Arial"/>
                    <w:sz w:val="18"/>
                  </w:rPr>
                  <w:instrText> PAGE </w:instrText>
                </w:r>
                <w:r>
                  <w:rPr/>
                  <w:fldChar w:fldCharType="separate"/>
                </w:r>
                <w:r>
                  <w:rPr/>
                  <w:t>40</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679993pt;margin-top:792.382568pt;width:14.05pt;height:12.1pt;mso-position-horizontal-relative:page;mso-position-vertical-relative:page;z-index:-134056" type="#_x0000_t202" filled="false" stroked="false">
          <v:textbox inset="0,0,0,0">
            <w:txbxContent>
              <w:p>
                <w:pPr>
                  <w:spacing w:before="14"/>
                  <w:ind w:left="40" w:right="0" w:firstLine="0"/>
                  <w:jc w:val="left"/>
                  <w:rPr>
                    <w:rFonts w:ascii="Arial"/>
                    <w:sz w:val="18"/>
                  </w:rPr>
                </w:pPr>
                <w:r>
                  <w:rPr/>
                  <w:fldChar w:fldCharType="begin"/>
                </w:r>
                <w:r>
                  <w:rPr>
                    <w:rFonts w:ascii="Arial"/>
                    <w:sz w:val="18"/>
                  </w:rPr>
                  <w:instrText> PAGE </w:instrText>
                </w:r>
                <w:r>
                  <w:rPr/>
                  <w:fldChar w:fldCharType="separate"/>
                </w:r>
                <w:r>
                  <w:rPr/>
                  <w:t>50</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0.679993pt;margin-top:792.382568pt;width:14.05pt;height:12.1pt;mso-position-horizontal-relative:page;mso-position-vertical-relative:page;z-index:-134032" type="#_x0000_t202" filled="false" stroked="false">
          <v:textbox inset="0,0,0,0">
            <w:txbxContent>
              <w:p>
                <w:pPr>
                  <w:spacing w:before="14"/>
                  <w:ind w:left="40" w:right="0" w:firstLine="0"/>
                  <w:jc w:val="left"/>
                  <w:rPr>
                    <w:rFonts w:ascii="Arial"/>
                    <w:sz w:val="18"/>
                  </w:rPr>
                </w:pPr>
                <w:r>
                  <w:rPr/>
                  <w:fldChar w:fldCharType="begin"/>
                </w:r>
                <w:r>
                  <w:rPr>
                    <w:rFonts w:ascii="Arial"/>
                    <w:sz w:val="18"/>
                  </w:rPr>
                  <w:instrText> PAGE </w:instrText>
                </w:r>
                <w:r>
                  <w:rPr/>
                  <w:fldChar w:fldCharType="separate"/>
                </w:r>
                <w:r>
                  <w:rPr/>
                  <w:t>60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14" w:hanging="132"/>
        <w:jc w:val="left"/>
      </w:pPr>
      <w:rPr>
        <w:rFonts w:hint="default" w:ascii="Times New Roman" w:hAnsi="Times New Roman" w:eastAsia="Times New Roman" w:cs="Times New Roman"/>
        <w:w w:val="99"/>
        <w:sz w:val="20"/>
        <w:szCs w:val="20"/>
      </w:rPr>
    </w:lvl>
    <w:lvl w:ilvl="1">
      <w:start w:val="0"/>
      <w:numFmt w:val="bullet"/>
      <w:lvlText w:val="•"/>
      <w:lvlJc w:val="left"/>
      <w:pPr>
        <w:ind w:left="767" w:hanging="132"/>
      </w:pPr>
      <w:rPr>
        <w:rFonts w:hint="default"/>
      </w:rPr>
    </w:lvl>
    <w:lvl w:ilvl="2">
      <w:start w:val="0"/>
      <w:numFmt w:val="bullet"/>
      <w:lvlText w:val="•"/>
      <w:lvlJc w:val="left"/>
      <w:pPr>
        <w:ind w:left="1415" w:hanging="132"/>
      </w:pPr>
      <w:rPr>
        <w:rFonts w:hint="default"/>
      </w:rPr>
    </w:lvl>
    <w:lvl w:ilvl="3">
      <w:start w:val="0"/>
      <w:numFmt w:val="bullet"/>
      <w:lvlText w:val="•"/>
      <w:lvlJc w:val="left"/>
      <w:pPr>
        <w:ind w:left="2063" w:hanging="132"/>
      </w:pPr>
      <w:rPr>
        <w:rFonts w:hint="default"/>
      </w:rPr>
    </w:lvl>
    <w:lvl w:ilvl="4">
      <w:start w:val="0"/>
      <w:numFmt w:val="bullet"/>
      <w:lvlText w:val="•"/>
      <w:lvlJc w:val="left"/>
      <w:pPr>
        <w:ind w:left="2711" w:hanging="132"/>
      </w:pPr>
      <w:rPr>
        <w:rFonts w:hint="default"/>
      </w:rPr>
    </w:lvl>
    <w:lvl w:ilvl="5">
      <w:start w:val="0"/>
      <w:numFmt w:val="bullet"/>
      <w:lvlText w:val="•"/>
      <w:lvlJc w:val="left"/>
      <w:pPr>
        <w:ind w:left="3359" w:hanging="132"/>
      </w:pPr>
      <w:rPr>
        <w:rFonts w:hint="default"/>
      </w:rPr>
    </w:lvl>
    <w:lvl w:ilvl="6">
      <w:start w:val="0"/>
      <w:numFmt w:val="bullet"/>
      <w:lvlText w:val="•"/>
      <w:lvlJc w:val="left"/>
      <w:pPr>
        <w:ind w:left="4006" w:hanging="132"/>
      </w:pPr>
      <w:rPr>
        <w:rFonts w:hint="default"/>
      </w:rPr>
    </w:lvl>
    <w:lvl w:ilvl="7">
      <w:start w:val="0"/>
      <w:numFmt w:val="bullet"/>
      <w:lvlText w:val="•"/>
      <w:lvlJc w:val="left"/>
      <w:pPr>
        <w:ind w:left="4654" w:hanging="132"/>
      </w:pPr>
      <w:rPr>
        <w:rFonts w:hint="default"/>
      </w:rPr>
    </w:lvl>
    <w:lvl w:ilvl="8">
      <w:start w:val="0"/>
      <w:numFmt w:val="bullet"/>
      <w:lvlText w:val="•"/>
      <w:lvlJc w:val="left"/>
      <w:pPr>
        <w:ind w:left="5302" w:hanging="132"/>
      </w:pPr>
      <w:rPr>
        <w:rFonts w:hint="default"/>
      </w:rPr>
    </w:lvl>
  </w:abstractNum>
  <w:abstractNum w:abstractNumId="59">
    <w:multiLevelType w:val="hybridMultilevel"/>
    <w:lvl w:ilvl="0">
      <w:start w:val="0"/>
      <w:numFmt w:val="bullet"/>
      <w:lvlText w:val="☐"/>
      <w:lvlJc w:val="left"/>
      <w:pPr>
        <w:ind w:left="3" w:hanging="202"/>
      </w:pPr>
      <w:rPr>
        <w:rFonts w:hint="default" w:ascii="MS Gothic" w:hAnsi="MS Gothic" w:eastAsia="MS Gothic" w:cs="MS Gothic"/>
        <w:spacing w:val="1"/>
        <w:w w:val="99"/>
        <w:sz w:val="18"/>
        <w:szCs w:val="18"/>
      </w:rPr>
    </w:lvl>
    <w:lvl w:ilvl="1">
      <w:start w:val="0"/>
      <w:numFmt w:val="bullet"/>
      <w:lvlText w:val="•"/>
      <w:lvlJc w:val="left"/>
      <w:pPr>
        <w:ind w:left="965" w:hanging="202"/>
      </w:pPr>
      <w:rPr>
        <w:rFonts w:hint="default"/>
      </w:rPr>
    </w:lvl>
    <w:lvl w:ilvl="2">
      <w:start w:val="0"/>
      <w:numFmt w:val="bullet"/>
      <w:lvlText w:val="•"/>
      <w:lvlJc w:val="left"/>
      <w:pPr>
        <w:ind w:left="1930" w:hanging="202"/>
      </w:pPr>
      <w:rPr>
        <w:rFonts w:hint="default"/>
      </w:rPr>
    </w:lvl>
    <w:lvl w:ilvl="3">
      <w:start w:val="0"/>
      <w:numFmt w:val="bullet"/>
      <w:lvlText w:val="•"/>
      <w:lvlJc w:val="left"/>
      <w:pPr>
        <w:ind w:left="2895" w:hanging="202"/>
      </w:pPr>
      <w:rPr>
        <w:rFonts w:hint="default"/>
      </w:rPr>
    </w:lvl>
    <w:lvl w:ilvl="4">
      <w:start w:val="0"/>
      <w:numFmt w:val="bullet"/>
      <w:lvlText w:val="•"/>
      <w:lvlJc w:val="left"/>
      <w:pPr>
        <w:ind w:left="3860" w:hanging="202"/>
      </w:pPr>
      <w:rPr>
        <w:rFonts w:hint="default"/>
      </w:rPr>
    </w:lvl>
    <w:lvl w:ilvl="5">
      <w:start w:val="0"/>
      <w:numFmt w:val="bullet"/>
      <w:lvlText w:val="•"/>
      <w:lvlJc w:val="left"/>
      <w:pPr>
        <w:ind w:left="4825" w:hanging="202"/>
      </w:pPr>
      <w:rPr>
        <w:rFonts w:hint="default"/>
      </w:rPr>
    </w:lvl>
    <w:lvl w:ilvl="6">
      <w:start w:val="0"/>
      <w:numFmt w:val="bullet"/>
      <w:lvlText w:val="•"/>
      <w:lvlJc w:val="left"/>
      <w:pPr>
        <w:ind w:left="5790" w:hanging="202"/>
      </w:pPr>
      <w:rPr>
        <w:rFonts w:hint="default"/>
      </w:rPr>
    </w:lvl>
    <w:lvl w:ilvl="7">
      <w:start w:val="0"/>
      <w:numFmt w:val="bullet"/>
      <w:lvlText w:val="•"/>
      <w:lvlJc w:val="left"/>
      <w:pPr>
        <w:ind w:left="6755" w:hanging="202"/>
      </w:pPr>
      <w:rPr>
        <w:rFonts w:hint="default"/>
      </w:rPr>
    </w:lvl>
    <w:lvl w:ilvl="8">
      <w:start w:val="0"/>
      <w:numFmt w:val="bullet"/>
      <w:lvlText w:val="•"/>
      <w:lvlJc w:val="left"/>
      <w:pPr>
        <w:ind w:left="7720" w:hanging="202"/>
      </w:pPr>
      <w:rPr>
        <w:rFonts w:hint="default"/>
      </w:rPr>
    </w:lvl>
  </w:abstractNum>
  <w:abstractNum w:abstractNumId="58">
    <w:multiLevelType w:val="hybridMultilevel"/>
    <w:lvl w:ilvl="0">
      <w:start w:val="9"/>
      <w:numFmt w:val="decimal"/>
      <w:lvlText w:val="%1"/>
      <w:lvlJc w:val="left"/>
      <w:pPr>
        <w:ind w:left="116" w:hanging="480"/>
        <w:jc w:val="left"/>
      </w:pPr>
      <w:rPr>
        <w:rFonts w:hint="default"/>
      </w:rPr>
    </w:lvl>
    <w:lvl w:ilvl="1">
      <w:start w:val="1"/>
      <w:numFmt w:val="decimal"/>
      <w:lvlText w:val="%1.%2"/>
      <w:lvlJc w:val="left"/>
      <w:pPr>
        <w:ind w:left="116" w:hanging="480"/>
        <w:jc w:val="left"/>
      </w:pPr>
      <w:rPr>
        <w:rFonts w:hint="default" w:ascii="宋体" w:hAnsi="宋体" w:eastAsia="宋体" w:cs="宋体"/>
        <w:w w:val="100"/>
        <w:sz w:val="24"/>
        <w:szCs w:val="24"/>
      </w:rPr>
    </w:lvl>
    <w:lvl w:ilvl="2">
      <w:start w:val="0"/>
      <w:numFmt w:val="bullet"/>
      <w:lvlText w:val="•"/>
      <w:lvlJc w:val="left"/>
      <w:pPr>
        <w:ind w:left="2117" w:hanging="480"/>
      </w:pPr>
      <w:rPr>
        <w:rFonts w:hint="default"/>
      </w:rPr>
    </w:lvl>
    <w:lvl w:ilvl="3">
      <w:start w:val="0"/>
      <w:numFmt w:val="bullet"/>
      <w:lvlText w:val="•"/>
      <w:lvlJc w:val="left"/>
      <w:pPr>
        <w:ind w:left="3115" w:hanging="480"/>
      </w:pPr>
      <w:rPr>
        <w:rFonts w:hint="default"/>
      </w:rPr>
    </w:lvl>
    <w:lvl w:ilvl="4">
      <w:start w:val="0"/>
      <w:numFmt w:val="bullet"/>
      <w:lvlText w:val="•"/>
      <w:lvlJc w:val="left"/>
      <w:pPr>
        <w:ind w:left="4114" w:hanging="480"/>
      </w:pPr>
      <w:rPr>
        <w:rFonts w:hint="default"/>
      </w:rPr>
    </w:lvl>
    <w:lvl w:ilvl="5">
      <w:start w:val="0"/>
      <w:numFmt w:val="bullet"/>
      <w:lvlText w:val="•"/>
      <w:lvlJc w:val="left"/>
      <w:pPr>
        <w:ind w:left="5113" w:hanging="480"/>
      </w:pPr>
      <w:rPr>
        <w:rFonts w:hint="default"/>
      </w:rPr>
    </w:lvl>
    <w:lvl w:ilvl="6">
      <w:start w:val="0"/>
      <w:numFmt w:val="bullet"/>
      <w:lvlText w:val="•"/>
      <w:lvlJc w:val="left"/>
      <w:pPr>
        <w:ind w:left="6111" w:hanging="480"/>
      </w:pPr>
      <w:rPr>
        <w:rFonts w:hint="default"/>
      </w:rPr>
    </w:lvl>
    <w:lvl w:ilvl="7">
      <w:start w:val="0"/>
      <w:numFmt w:val="bullet"/>
      <w:lvlText w:val="•"/>
      <w:lvlJc w:val="left"/>
      <w:pPr>
        <w:ind w:left="7110" w:hanging="480"/>
      </w:pPr>
      <w:rPr>
        <w:rFonts w:hint="default"/>
      </w:rPr>
    </w:lvl>
    <w:lvl w:ilvl="8">
      <w:start w:val="0"/>
      <w:numFmt w:val="bullet"/>
      <w:lvlText w:val="•"/>
      <w:lvlJc w:val="left"/>
      <w:pPr>
        <w:ind w:left="8108" w:hanging="480"/>
      </w:pPr>
      <w:rPr>
        <w:rFonts w:hint="default"/>
      </w:rPr>
    </w:lvl>
  </w:abstractNum>
  <w:abstractNum w:abstractNumId="57">
    <w:multiLevelType w:val="hybridMultilevel"/>
    <w:lvl w:ilvl="0">
      <w:start w:val="8"/>
      <w:numFmt w:val="decimal"/>
      <w:lvlText w:val="%1"/>
      <w:lvlJc w:val="left"/>
      <w:pPr>
        <w:ind w:left="116" w:hanging="480"/>
        <w:jc w:val="left"/>
      </w:pPr>
      <w:rPr>
        <w:rFonts w:hint="default"/>
      </w:rPr>
    </w:lvl>
    <w:lvl w:ilvl="1">
      <w:start w:val="1"/>
      <w:numFmt w:val="decimal"/>
      <w:lvlText w:val="%1.%2"/>
      <w:lvlJc w:val="left"/>
      <w:pPr>
        <w:ind w:left="116" w:hanging="480"/>
        <w:jc w:val="left"/>
      </w:pPr>
      <w:rPr>
        <w:rFonts w:hint="default" w:ascii="宋体" w:hAnsi="宋体" w:eastAsia="宋体" w:cs="宋体"/>
        <w:w w:val="100"/>
        <w:sz w:val="24"/>
        <w:szCs w:val="24"/>
      </w:rPr>
    </w:lvl>
    <w:lvl w:ilvl="2">
      <w:start w:val="1"/>
      <w:numFmt w:val="decimal"/>
      <w:lvlText w:val="%1.%2.%3"/>
      <w:lvlJc w:val="left"/>
      <w:pPr>
        <w:ind w:left="1316" w:hanging="720"/>
        <w:jc w:val="left"/>
      </w:pPr>
      <w:rPr>
        <w:rFonts w:hint="default" w:ascii="宋体" w:hAnsi="宋体" w:eastAsia="宋体" w:cs="宋体"/>
        <w:w w:val="100"/>
        <w:sz w:val="24"/>
        <w:szCs w:val="24"/>
      </w:rPr>
    </w:lvl>
    <w:lvl w:ilvl="3">
      <w:start w:val="0"/>
      <w:numFmt w:val="bullet"/>
      <w:lvlText w:val="•"/>
      <w:lvlJc w:val="left"/>
      <w:pPr>
        <w:ind w:left="3272" w:hanging="720"/>
      </w:pPr>
      <w:rPr>
        <w:rFonts w:hint="default"/>
      </w:rPr>
    </w:lvl>
    <w:lvl w:ilvl="4">
      <w:start w:val="0"/>
      <w:numFmt w:val="bullet"/>
      <w:lvlText w:val="•"/>
      <w:lvlJc w:val="left"/>
      <w:pPr>
        <w:ind w:left="4248" w:hanging="720"/>
      </w:pPr>
      <w:rPr>
        <w:rFonts w:hint="default"/>
      </w:rPr>
    </w:lvl>
    <w:lvl w:ilvl="5">
      <w:start w:val="0"/>
      <w:numFmt w:val="bullet"/>
      <w:lvlText w:val="•"/>
      <w:lvlJc w:val="left"/>
      <w:pPr>
        <w:ind w:left="5224" w:hanging="720"/>
      </w:pPr>
      <w:rPr>
        <w:rFonts w:hint="default"/>
      </w:rPr>
    </w:lvl>
    <w:lvl w:ilvl="6">
      <w:start w:val="0"/>
      <w:numFmt w:val="bullet"/>
      <w:lvlText w:val="•"/>
      <w:lvlJc w:val="left"/>
      <w:pPr>
        <w:ind w:left="6201" w:hanging="720"/>
      </w:pPr>
      <w:rPr>
        <w:rFonts w:hint="default"/>
      </w:rPr>
    </w:lvl>
    <w:lvl w:ilvl="7">
      <w:start w:val="0"/>
      <w:numFmt w:val="bullet"/>
      <w:lvlText w:val="•"/>
      <w:lvlJc w:val="left"/>
      <w:pPr>
        <w:ind w:left="7177" w:hanging="720"/>
      </w:pPr>
      <w:rPr>
        <w:rFonts w:hint="default"/>
      </w:rPr>
    </w:lvl>
    <w:lvl w:ilvl="8">
      <w:start w:val="0"/>
      <w:numFmt w:val="bullet"/>
      <w:lvlText w:val="•"/>
      <w:lvlJc w:val="left"/>
      <w:pPr>
        <w:ind w:left="8153" w:hanging="720"/>
      </w:pPr>
      <w:rPr>
        <w:rFonts w:hint="default"/>
      </w:rPr>
    </w:lvl>
  </w:abstractNum>
  <w:abstractNum w:abstractNumId="56">
    <w:multiLevelType w:val="hybridMultilevel"/>
    <w:lvl w:ilvl="0">
      <w:start w:val="7"/>
      <w:numFmt w:val="decimal"/>
      <w:lvlText w:val="%1"/>
      <w:lvlJc w:val="left"/>
      <w:pPr>
        <w:ind w:left="1076" w:hanging="480"/>
        <w:jc w:val="left"/>
      </w:pPr>
      <w:rPr>
        <w:rFonts w:hint="default"/>
      </w:rPr>
    </w:lvl>
    <w:lvl w:ilvl="1">
      <w:start w:val="1"/>
      <w:numFmt w:val="decimal"/>
      <w:lvlText w:val="%1.%2"/>
      <w:lvlJc w:val="left"/>
      <w:pPr>
        <w:ind w:left="1076" w:hanging="480"/>
        <w:jc w:val="left"/>
      </w:pPr>
      <w:rPr>
        <w:rFonts w:hint="default" w:ascii="宋体" w:hAnsi="宋体" w:eastAsia="宋体" w:cs="宋体"/>
        <w:w w:val="100"/>
        <w:sz w:val="24"/>
        <w:szCs w:val="24"/>
      </w:rPr>
    </w:lvl>
    <w:lvl w:ilvl="2">
      <w:start w:val="1"/>
      <w:numFmt w:val="decimal"/>
      <w:lvlText w:val="%1.%2.%3"/>
      <w:lvlJc w:val="left"/>
      <w:pPr>
        <w:ind w:left="116" w:hanging="720"/>
        <w:jc w:val="left"/>
      </w:pPr>
      <w:rPr>
        <w:rFonts w:hint="default" w:ascii="宋体" w:hAnsi="宋体" w:eastAsia="宋体" w:cs="宋体"/>
        <w:w w:val="100"/>
        <w:sz w:val="24"/>
        <w:szCs w:val="24"/>
      </w:rPr>
    </w:lvl>
    <w:lvl w:ilvl="3">
      <w:start w:val="0"/>
      <w:numFmt w:val="bullet"/>
      <w:lvlText w:val="•"/>
      <w:lvlJc w:val="left"/>
      <w:pPr>
        <w:ind w:left="3085" w:hanging="720"/>
      </w:pPr>
      <w:rPr>
        <w:rFonts w:hint="default"/>
      </w:rPr>
    </w:lvl>
    <w:lvl w:ilvl="4">
      <w:start w:val="0"/>
      <w:numFmt w:val="bullet"/>
      <w:lvlText w:val="•"/>
      <w:lvlJc w:val="left"/>
      <w:pPr>
        <w:ind w:left="4088" w:hanging="720"/>
      </w:pPr>
      <w:rPr>
        <w:rFonts w:hint="default"/>
      </w:rPr>
    </w:lvl>
    <w:lvl w:ilvl="5">
      <w:start w:val="0"/>
      <w:numFmt w:val="bullet"/>
      <w:lvlText w:val="•"/>
      <w:lvlJc w:val="left"/>
      <w:pPr>
        <w:ind w:left="5091" w:hanging="720"/>
      </w:pPr>
      <w:rPr>
        <w:rFonts w:hint="default"/>
      </w:rPr>
    </w:lvl>
    <w:lvl w:ilvl="6">
      <w:start w:val="0"/>
      <w:numFmt w:val="bullet"/>
      <w:lvlText w:val="•"/>
      <w:lvlJc w:val="left"/>
      <w:pPr>
        <w:ind w:left="6094" w:hanging="720"/>
      </w:pPr>
      <w:rPr>
        <w:rFonts w:hint="default"/>
      </w:rPr>
    </w:lvl>
    <w:lvl w:ilvl="7">
      <w:start w:val="0"/>
      <w:numFmt w:val="bullet"/>
      <w:lvlText w:val="•"/>
      <w:lvlJc w:val="left"/>
      <w:pPr>
        <w:ind w:left="7097" w:hanging="720"/>
      </w:pPr>
      <w:rPr>
        <w:rFonts w:hint="default"/>
      </w:rPr>
    </w:lvl>
    <w:lvl w:ilvl="8">
      <w:start w:val="0"/>
      <w:numFmt w:val="bullet"/>
      <w:lvlText w:val="•"/>
      <w:lvlJc w:val="left"/>
      <w:pPr>
        <w:ind w:left="8100" w:hanging="720"/>
      </w:pPr>
      <w:rPr>
        <w:rFonts w:hint="default"/>
      </w:rPr>
    </w:lvl>
  </w:abstractNum>
  <w:abstractNum w:abstractNumId="55">
    <w:multiLevelType w:val="hybridMultilevel"/>
    <w:lvl w:ilvl="0">
      <w:start w:val="6"/>
      <w:numFmt w:val="decimal"/>
      <w:lvlText w:val="%1"/>
      <w:lvlJc w:val="left"/>
      <w:pPr>
        <w:ind w:left="836" w:hanging="480"/>
        <w:jc w:val="left"/>
      </w:pPr>
      <w:rPr>
        <w:rFonts w:hint="default"/>
      </w:rPr>
    </w:lvl>
    <w:lvl w:ilvl="1">
      <w:start w:val="1"/>
      <w:numFmt w:val="decimal"/>
      <w:lvlText w:val="%1.%2"/>
      <w:lvlJc w:val="left"/>
      <w:pPr>
        <w:ind w:left="836" w:hanging="480"/>
        <w:jc w:val="right"/>
      </w:pPr>
      <w:rPr>
        <w:rFonts w:hint="default" w:ascii="宋体" w:hAnsi="宋体" w:eastAsia="宋体" w:cs="宋体"/>
        <w:w w:val="100"/>
        <w:sz w:val="24"/>
        <w:szCs w:val="24"/>
      </w:rPr>
    </w:lvl>
    <w:lvl w:ilvl="2">
      <w:start w:val="0"/>
      <w:numFmt w:val="bullet"/>
      <w:lvlText w:val="•"/>
      <w:lvlJc w:val="left"/>
      <w:pPr>
        <w:ind w:left="2693" w:hanging="480"/>
      </w:pPr>
      <w:rPr>
        <w:rFonts w:hint="default"/>
      </w:rPr>
    </w:lvl>
    <w:lvl w:ilvl="3">
      <w:start w:val="0"/>
      <w:numFmt w:val="bullet"/>
      <w:lvlText w:val="•"/>
      <w:lvlJc w:val="left"/>
      <w:pPr>
        <w:ind w:left="3619" w:hanging="480"/>
      </w:pPr>
      <w:rPr>
        <w:rFonts w:hint="default"/>
      </w:rPr>
    </w:lvl>
    <w:lvl w:ilvl="4">
      <w:start w:val="0"/>
      <w:numFmt w:val="bullet"/>
      <w:lvlText w:val="•"/>
      <w:lvlJc w:val="left"/>
      <w:pPr>
        <w:ind w:left="4546" w:hanging="480"/>
      </w:pPr>
      <w:rPr>
        <w:rFonts w:hint="default"/>
      </w:rPr>
    </w:lvl>
    <w:lvl w:ilvl="5">
      <w:start w:val="0"/>
      <w:numFmt w:val="bullet"/>
      <w:lvlText w:val="•"/>
      <w:lvlJc w:val="left"/>
      <w:pPr>
        <w:ind w:left="5473" w:hanging="480"/>
      </w:pPr>
      <w:rPr>
        <w:rFonts w:hint="default"/>
      </w:rPr>
    </w:lvl>
    <w:lvl w:ilvl="6">
      <w:start w:val="0"/>
      <w:numFmt w:val="bullet"/>
      <w:lvlText w:val="•"/>
      <w:lvlJc w:val="left"/>
      <w:pPr>
        <w:ind w:left="6399" w:hanging="480"/>
      </w:pPr>
      <w:rPr>
        <w:rFonts w:hint="default"/>
      </w:rPr>
    </w:lvl>
    <w:lvl w:ilvl="7">
      <w:start w:val="0"/>
      <w:numFmt w:val="bullet"/>
      <w:lvlText w:val="•"/>
      <w:lvlJc w:val="left"/>
      <w:pPr>
        <w:ind w:left="7326" w:hanging="480"/>
      </w:pPr>
      <w:rPr>
        <w:rFonts w:hint="default"/>
      </w:rPr>
    </w:lvl>
    <w:lvl w:ilvl="8">
      <w:start w:val="0"/>
      <w:numFmt w:val="bullet"/>
      <w:lvlText w:val="•"/>
      <w:lvlJc w:val="left"/>
      <w:pPr>
        <w:ind w:left="8252" w:hanging="480"/>
      </w:pPr>
      <w:rPr>
        <w:rFonts w:hint="default"/>
      </w:rPr>
    </w:lvl>
  </w:abstractNum>
  <w:abstractNum w:abstractNumId="54">
    <w:multiLevelType w:val="hybridMultilevel"/>
    <w:lvl w:ilvl="0">
      <w:start w:val="5"/>
      <w:numFmt w:val="decimal"/>
      <w:lvlText w:val="%1"/>
      <w:lvlJc w:val="left"/>
      <w:pPr>
        <w:ind w:left="116" w:hanging="361"/>
        <w:jc w:val="left"/>
      </w:pPr>
      <w:rPr>
        <w:rFonts w:hint="default"/>
      </w:rPr>
    </w:lvl>
    <w:lvl w:ilvl="1">
      <w:start w:val="1"/>
      <w:numFmt w:val="decimal"/>
      <w:lvlText w:val="%1.%2"/>
      <w:lvlJc w:val="left"/>
      <w:pPr>
        <w:ind w:left="116" w:hanging="361"/>
        <w:jc w:val="left"/>
      </w:pPr>
      <w:rPr>
        <w:rFonts w:hint="default" w:ascii="宋体" w:hAnsi="宋体" w:eastAsia="宋体" w:cs="宋体"/>
        <w:w w:val="100"/>
        <w:sz w:val="22"/>
        <w:szCs w:val="22"/>
      </w:rPr>
    </w:lvl>
    <w:lvl w:ilvl="2">
      <w:start w:val="1"/>
      <w:numFmt w:val="decimal"/>
      <w:lvlText w:val="%1.%2.%3"/>
      <w:lvlJc w:val="left"/>
      <w:pPr>
        <w:ind w:left="116" w:hanging="720"/>
        <w:jc w:val="left"/>
      </w:pPr>
      <w:rPr>
        <w:rFonts w:hint="default" w:ascii="宋体" w:hAnsi="宋体" w:eastAsia="宋体" w:cs="宋体"/>
        <w:w w:val="100"/>
        <w:sz w:val="24"/>
        <w:szCs w:val="24"/>
      </w:rPr>
    </w:lvl>
    <w:lvl w:ilvl="3">
      <w:start w:val="0"/>
      <w:numFmt w:val="bullet"/>
      <w:lvlText w:val="•"/>
      <w:lvlJc w:val="left"/>
      <w:pPr>
        <w:ind w:left="3115" w:hanging="720"/>
      </w:pPr>
      <w:rPr>
        <w:rFonts w:hint="default"/>
      </w:rPr>
    </w:lvl>
    <w:lvl w:ilvl="4">
      <w:start w:val="0"/>
      <w:numFmt w:val="bullet"/>
      <w:lvlText w:val="•"/>
      <w:lvlJc w:val="left"/>
      <w:pPr>
        <w:ind w:left="4114" w:hanging="720"/>
      </w:pPr>
      <w:rPr>
        <w:rFonts w:hint="default"/>
      </w:rPr>
    </w:lvl>
    <w:lvl w:ilvl="5">
      <w:start w:val="0"/>
      <w:numFmt w:val="bullet"/>
      <w:lvlText w:val="•"/>
      <w:lvlJc w:val="left"/>
      <w:pPr>
        <w:ind w:left="5113" w:hanging="720"/>
      </w:pPr>
      <w:rPr>
        <w:rFonts w:hint="default"/>
      </w:rPr>
    </w:lvl>
    <w:lvl w:ilvl="6">
      <w:start w:val="0"/>
      <w:numFmt w:val="bullet"/>
      <w:lvlText w:val="•"/>
      <w:lvlJc w:val="left"/>
      <w:pPr>
        <w:ind w:left="6111" w:hanging="720"/>
      </w:pPr>
      <w:rPr>
        <w:rFonts w:hint="default"/>
      </w:rPr>
    </w:lvl>
    <w:lvl w:ilvl="7">
      <w:start w:val="0"/>
      <w:numFmt w:val="bullet"/>
      <w:lvlText w:val="•"/>
      <w:lvlJc w:val="left"/>
      <w:pPr>
        <w:ind w:left="7110" w:hanging="720"/>
      </w:pPr>
      <w:rPr>
        <w:rFonts w:hint="default"/>
      </w:rPr>
    </w:lvl>
    <w:lvl w:ilvl="8">
      <w:start w:val="0"/>
      <w:numFmt w:val="bullet"/>
      <w:lvlText w:val="•"/>
      <w:lvlJc w:val="left"/>
      <w:pPr>
        <w:ind w:left="8108" w:hanging="720"/>
      </w:pPr>
      <w:rPr>
        <w:rFonts w:hint="default"/>
      </w:rPr>
    </w:lvl>
  </w:abstractNum>
  <w:abstractNum w:abstractNumId="53">
    <w:multiLevelType w:val="hybridMultilevel"/>
    <w:lvl w:ilvl="0">
      <w:start w:val="4"/>
      <w:numFmt w:val="decimal"/>
      <w:lvlText w:val="%1"/>
      <w:lvlJc w:val="left"/>
      <w:pPr>
        <w:ind w:left="1076" w:hanging="480"/>
        <w:jc w:val="left"/>
      </w:pPr>
      <w:rPr>
        <w:rFonts w:hint="default"/>
      </w:rPr>
    </w:lvl>
    <w:lvl w:ilvl="1">
      <w:start w:val="8"/>
      <w:numFmt w:val="decimal"/>
      <w:lvlText w:val="%1.%2"/>
      <w:lvlJc w:val="left"/>
      <w:pPr>
        <w:ind w:left="1076" w:hanging="480"/>
        <w:jc w:val="left"/>
      </w:pPr>
      <w:rPr>
        <w:rFonts w:hint="default" w:ascii="宋体" w:hAnsi="宋体" w:eastAsia="宋体" w:cs="宋体"/>
        <w:w w:val="100"/>
        <w:sz w:val="24"/>
        <w:szCs w:val="24"/>
      </w:rPr>
    </w:lvl>
    <w:lvl w:ilvl="2">
      <w:start w:val="1"/>
      <w:numFmt w:val="decimal"/>
      <w:lvlText w:val="%1.%2.%3"/>
      <w:lvlJc w:val="left"/>
      <w:pPr>
        <w:ind w:left="116" w:hanging="601"/>
        <w:jc w:val="left"/>
      </w:pPr>
      <w:rPr>
        <w:rFonts w:hint="default" w:ascii="宋体" w:hAnsi="宋体" w:eastAsia="宋体" w:cs="宋体"/>
        <w:w w:val="100"/>
        <w:sz w:val="22"/>
        <w:szCs w:val="22"/>
      </w:rPr>
    </w:lvl>
    <w:lvl w:ilvl="3">
      <w:start w:val="0"/>
      <w:numFmt w:val="bullet"/>
      <w:lvlText w:val="•"/>
      <w:lvlJc w:val="left"/>
      <w:pPr>
        <w:ind w:left="3085" w:hanging="601"/>
      </w:pPr>
      <w:rPr>
        <w:rFonts w:hint="default"/>
      </w:rPr>
    </w:lvl>
    <w:lvl w:ilvl="4">
      <w:start w:val="0"/>
      <w:numFmt w:val="bullet"/>
      <w:lvlText w:val="•"/>
      <w:lvlJc w:val="left"/>
      <w:pPr>
        <w:ind w:left="4088" w:hanging="601"/>
      </w:pPr>
      <w:rPr>
        <w:rFonts w:hint="default"/>
      </w:rPr>
    </w:lvl>
    <w:lvl w:ilvl="5">
      <w:start w:val="0"/>
      <w:numFmt w:val="bullet"/>
      <w:lvlText w:val="•"/>
      <w:lvlJc w:val="left"/>
      <w:pPr>
        <w:ind w:left="5091" w:hanging="601"/>
      </w:pPr>
      <w:rPr>
        <w:rFonts w:hint="default"/>
      </w:rPr>
    </w:lvl>
    <w:lvl w:ilvl="6">
      <w:start w:val="0"/>
      <w:numFmt w:val="bullet"/>
      <w:lvlText w:val="•"/>
      <w:lvlJc w:val="left"/>
      <w:pPr>
        <w:ind w:left="6094" w:hanging="601"/>
      </w:pPr>
      <w:rPr>
        <w:rFonts w:hint="default"/>
      </w:rPr>
    </w:lvl>
    <w:lvl w:ilvl="7">
      <w:start w:val="0"/>
      <w:numFmt w:val="bullet"/>
      <w:lvlText w:val="•"/>
      <w:lvlJc w:val="left"/>
      <w:pPr>
        <w:ind w:left="7097" w:hanging="601"/>
      </w:pPr>
      <w:rPr>
        <w:rFonts w:hint="default"/>
      </w:rPr>
    </w:lvl>
    <w:lvl w:ilvl="8">
      <w:start w:val="0"/>
      <w:numFmt w:val="bullet"/>
      <w:lvlText w:val="•"/>
      <w:lvlJc w:val="left"/>
      <w:pPr>
        <w:ind w:left="8100" w:hanging="601"/>
      </w:pPr>
      <w:rPr>
        <w:rFonts w:hint="default"/>
      </w:rPr>
    </w:lvl>
  </w:abstractNum>
  <w:abstractNum w:abstractNumId="52">
    <w:multiLevelType w:val="hybridMultilevel"/>
    <w:lvl w:ilvl="0">
      <w:start w:val="1"/>
      <w:numFmt w:val="decimal"/>
      <w:lvlText w:val="（%1）"/>
      <w:lvlJc w:val="left"/>
      <w:pPr>
        <w:ind w:left="116" w:hanging="720"/>
        <w:jc w:val="left"/>
      </w:pPr>
      <w:rPr>
        <w:rFonts w:hint="default" w:ascii="宋体" w:hAnsi="宋体" w:eastAsia="宋体" w:cs="宋体"/>
        <w:w w:val="100"/>
        <w:sz w:val="24"/>
        <w:szCs w:val="24"/>
      </w:rPr>
    </w:lvl>
    <w:lvl w:ilvl="1">
      <w:start w:val="0"/>
      <w:numFmt w:val="bullet"/>
      <w:lvlText w:val="•"/>
      <w:lvlJc w:val="left"/>
      <w:pPr>
        <w:ind w:left="1118" w:hanging="720"/>
      </w:pPr>
      <w:rPr>
        <w:rFonts w:hint="default"/>
      </w:rPr>
    </w:lvl>
    <w:lvl w:ilvl="2">
      <w:start w:val="0"/>
      <w:numFmt w:val="bullet"/>
      <w:lvlText w:val="•"/>
      <w:lvlJc w:val="left"/>
      <w:pPr>
        <w:ind w:left="2117" w:hanging="720"/>
      </w:pPr>
      <w:rPr>
        <w:rFonts w:hint="default"/>
      </w:rPr>
    </w:lvl>
    <w:lvl w:ilvl="3">
      <w:start w:val="0"/>
      <w:numFmt w:val="bullet"/>
      <w:lvlText w:val="•"/>
      <w:lvlJc w:val="left"/>
      <w:pPr>
        <w:ind w:left="3115" w:hanging="720"/>
      </w:pPr>
      <w:rPr>
        <w:rFonts w:hint="default"/>
      </w:rPr>
    </w:lvl>
    <w:lvl w:ilvl="4">
      <w:start w:val="0"/>
      <w:numFmt w:val="bullet"/>
      <w:lvlText w:val="•"/>
      <w:lvlJc w:val="left"/>
      <w:pPr>
        <w:ind w:left="4114" w:hanging="720"/>
      </w:pPr>
      <w:rPr>
        <w:rFonts w:hint="default"/>
      </w:rPr>
    </w:lvl>
    <w:lvl w:ilvl="5">
      <w:start w:val="0"/>
      <w:numFmt w:val="bullet"/>
      <w:lvlText w:val="•"/>
      <w:lvlJc w:val="left"/>
      <w:pPr>
        <w:ind w:left="5113" w:hanging="720"/>
      </w:pPr>
      <w:rPr>
        <w:rFonts w:hint="default"/>
      </w:rPr>
    </w:lvl>
    <w:lvl w:ilvl="6">
      <w:start w:val="0"/>
      <w:numFmt w:val="bullet"/>
      <w:lvlText w:val="•"/>
      <w:lvlJc w:val="left"/>
      <w:pPr>
        <w:ind w:left="6111" w:hanging="720"/>
      </w:pPr>
      <w:rPr>
        <w:rFonts w:hint="default"/>
      </w:rPr>
    </w:lvl>
    <w:lvl w:ilvl="7">
      <w:start w:val="0"/>
      <w:numFmt w:val="bullet"/>
      <w:lvlText w:val="•"/>
      <w:lvlJc w:val="left"/>
      <w:pPr>
        <w:ind w:left="7110" w:hanging="720"/>
      </w:pPr>
      <w:rPr>
        <w:rFonts w:hint="default"/>
      </w:rPr>
    </w:lvl>
    <w:lvl w:ilvl="8">
      <w:start w:val="0"/>
      <w:numFmt w:val="bullet"/>
      <w:lvlText w:val="•"/>
      <w:lvlJc w:val="left"/>
      <w:pPr>
        <w:ind w:left="8108" w:hanging="720"/>
      </w:pPr>
      <w:rPr>
        <w:rFonts w:hint="default"/>
      </w:rPr>
    </w:lvl>
  </w:abstractNum>
  <w:abstractNum w:abstractNumId="51">
    <w:multiLevelType w:val="hybridMultilevel"/>
    <w:lvl w:ilvl="0">
      <w:start w:val="1"/>
      <w:numFmt w:val="decimal"/>
      <w:lvlText w:val="（%1）"/>
      <w:lvlJc w:val="left"/>
      <w:pPr>
        <w:ind w:left="116" w:hanging="720"/>
        <w:jc w:val="left"/>
      </w:pPr>
      <w:rPr>
        <w:rFonts w:hint="default" w:ascii="宋体" w:hAnsi="宋体" w:eastAsia="宋体" w:cs="宋体"/>
        <w:w w:val="100"/>
        <w:sz w:val="24"/>
        <w:szCs w:val="24"/>
      </w:rPr>
    </w:lvl>
    <w:lvl w:ilvl="1">
      <w:start w:val="0"/>
      <w:numFmt w:val="bullet"/>
      <w:lvlText w:val="•"/>
      <w:lvlJc w:val="left"/>
      <w:pPr>
        <w:ind w:left="1118" w:hanging="720"/>
      </w:pPr>
      <w:rPr>
        <w:rFonts w:hint="default"/>
      </w:rPr>
    </w:lvl>
    <w:lvl w:ilvl="2">
      <w:start w:val="0"/>
      <w:numFmt w:val="bullet"/>
      <w:lvlText w:val="•"/>
      <w:lvlJc w:val="left"/>
      <w:pPr>
        <w:ind w:left="2117" w:hanging="720"/>
      </w:pPr>
      <w:rPr>
        <w:rFonts w:hint="default"/>
      </w:rPr>
    </w:lvl>
    <w:lvl w:ilvl="3">
      <w:start w:val="0"/>
      <w:numFmt w:val="bullet"/>
      <w:lvlText w:val="•"/>
      <w:lvlJc w:val="left"/>
      <w:pPr>
        <w:ind w:left="3115" w:hanging="720"/>
      </w:pPr>
      <w:rPr>
        <w:rFonts w:hint="default"/>
      </w:rPr>
    </w:lvl>
    <w:lvl w:ilvl="4">
      <w:start w:val="0"/>
      <w:numFmt w:val="bullet"/>
      <w:lvlText w:val="•"/>
      <w:lvlJc w:val="left"/>
      <w:pPr>
        <w:ind w:left="4114" w:hanging="720"/>
      </w:pPr>
      <w:rPr>
        <w:rFonts w:hint="default"/>
      </w:rPr>
    </w:lvl>
    <w:lvl w:ilvl="5">
      <w:start w:val="0"/>
      <w:numFmt w:val="bullet"/>
      <w:lvlText w:val="•"/>
      <w:lvlJc w:val="left"/>
      <w:pPr>
        <w:ind w:left="5113" w:hanging="720"/>
      </w:pPr>
      <w:rPr>
        <w:rFonts w:hint="default"/>
      </w:rPr>
    </w:lvl>
    <w:lvl w:ilvl="6">
      <w:start w:val="0"/>
      <w:numFmt w:val="bullet"/>
      <w:lvlText w:val="•"/>
      <w:lvlJc w:val="left"/>
      <w:pPr>
        <w:ind w:left="6111" w:hanging="720"/>
      </w:pPr>
      <w:rPr>
        <w:rFonts w:hint="default"/>
      </w:rPr>
    </w:lvl>
    <w:lvl w:ilvl="7">
      <w:start w:val="0"/>
      <w:numFmt w:val="bullet"/>
      <w:lvlText w:val="•"/>
      <w:lvlJc w:val="left"/>
      <w:pPr>
        <w:ind w:left="7110" w:hanging="720"/>
      </w:pPr>
      <w:rPr>
        <w:rFonts w:hint="default"/>
      </w:rPr>
    </w:lvl>
    <w:lvl w:ilvl="8">
      <w:start w:val="0"/>
      <w:numFmt w:val="bullet"/>
      <w:lvlText w:val="•"/>
      <w:lvlJc w:val="left"/>
      <w:pPr>
        <w:ind w:left="8108" w:hanging="720"/>
      </w:pPr>
      <w:rPr>
        <w:rFonts w:hint="default"/>
      </w:rPr>
    </w:lvl>
  </w:abstractNum>
  <w:abstractNum w:abstractNumId="50">
    <w:multiLevelType w:val="hybridMultilevel"/>
    <w:lvl w:ilvl="0">
      <w:start w:val="4"/>
      <w:numFmt w:val="decimal"/>
      <w:lvlText w:val="%1"/>
      <w:lvlJc w:val="left"/>
      <w:pPr>
        <w:ind w:left="1076" w:hanging="480"/>
        <w:jc w:val="left"/>
      </w:pPr>
      <w:rPr>
        <w:rFonts w:hint="default"/>
      </w:rPr>
    </w:lvl>
    <w:lvl w:ilvl="1">
      <w:start w:val="4"/>
      <w:numFmt w:val="decimal"/>
      <w:lvlText w:val="%1.%2"/>
      <w:lvlJc w:val="left"/>
      <w:pPr>
        <w:ind w:left="1076" w:hanging="480"/>
        <w:jc w:val="left"/>
      </w:pPr>
      <w:rPr>
        <w:rFonts w:hint="default" w:ascii="宋体" w:hAnsi="宋体" w:eastAsia="宋体" w:cs="宋体"/>
        <w:w w:val="100"/>
        <w:sz w:val="24"/>
        <w:szCs w:val="24"/>
      </w:rPr>
    </w:lvl>
    <w:lvl w:ilvl="2">
      <w:start w:val="1"/>
      <w:numFmt w:val="decimal"/>
      <w:lvlText w:val="%1.%2.%3"/>
      <w:lvlJc w:val="left"/>
      <w:pPr>
        <w:ind w:left="1316" w:hanging="720"/>
        <w:jc w:val="left"/>
      </w:pPr>
      <w:rPr>
        <w:rFonts w:hint="default" w:ascii="宋体" w:hAnsi="宋体" w:eastAsia="宋体" w:cs="宋体"/>
        <w:w w:val="100"/>
        <w:sz w:val="24"/>
        <w:szCs w:val="24"/>
      </w:rPr>
    </w:lvl>
    <w:lvl w:ilvl="3">
      <w:start w:val="0"/>
      <w:numFmt w:val="bullet"/>
      <w:lvlText w:val="•"/>
      <w:lvlJc w:val="left"/>
      <w:pPr>
        <w:ind w:left="3272" w:hanging="720"/>
      </w:pPr>
      <w:rPr>
        <w:rFonts w:hint="default"/>
      </w:rPr>
    </w:lvl>
    <w:lvl w:ilvl="4">
      <w:start w:val="0"/>
      <w:numFmt w:val="bullet"/>
      <w:lvlText w:val="•"/>
      <w:lvlJc w:val="left"/>
      <w:pPr>
        <w:ind w:left="4248" w:hanging="720"/>
      </w:pPr>
      <w:rPr>
        <w:rFonts w:hint="default"/>
      </w:rPr>
    </w:lvl>
    <w:lvl w:ilvl="5">
      <w:start w:val="0"/>
      <w:numFmt w:val="bullet"/>
      <w:lvlText w:val="•"/>
      <w:lvlJc w:val="left"/>
      <w:pPr>
        <w:ind w:left="5224" w:hanging="720"/>
      </w:pPr>
      <w:rPr>
        <w:rFonts w:hint="default"/>
      </w:rPr>
    </w:lvl>
    <w:lvl w:ilvl="6">
      <w:start w:val="0"/>
      <w:numFmt w:val="bullet"/>
      <w:lvlText w:val="•"/>
      <w:lvlJc w:val="left"/>
      <w:pPr>
        <w:ind w:left="6201" w:hanging="720"/>
      </w:pPr>
      <w:rPr>
        <w:rFonts w:hint="default"/>
      </w:rPr>
    </w:lvl>
    <w:lvl w:ilvl="7">
      <w:start w:val="0"/>
      <w:numFmt w:val="bullet"/>
      <w:lvlText w:val="•"/>
      <w:lvlJc w:val="left"/>
      <w:pPr>
        <w:ind w:left="7177" w:hanging="720"/>
      </w:pPr>
      <w:rPr>
        <w:rFonts w:hint="default"/>
      </w:rPr>
    </w:lvl>
    <w:lvl w:ilvl="8">
      <w:start w:val="0"/>
      <w:numFmt w:val="bullet"/>
      <w:lvlText w:val="•"/>
      <w:lvlJc w:val="left"/>
      <w:pPr>
        <w:ind w:left="8153" w:hanging="720"/>
      </w:pPr>
      <w:rPr>
        <w:rFonts w:hint="default"/>
      </w:rPr>
    </w:lvl>
  </w:abstractNum>
  <w:abstractNum w:abstractNumId="49">
    <w:multiLevelType w:val="hybridMultilevel"/>
    <w:lvl w:ilvl="0">
      <w:start w:val="1"/>
      <w:numFmt w:val="decimal"/>
      <w:lvlText w:val="（%1）"/>
      <w:lvlJc w:val="left"/>
      <w:pPr>
        <w:ind w:left="116" w:hanging="720"/>
        <w:jc w:val="left"/>
      </w:pPr>
      <w:rPr>
        <w:rFonts w:hint="default" w:ascii="宋体" w:hAnsi="宋体" w:eastAsia="宋体" w:cs="宋体"/>
        <w:w w:val="100"/>
        <w:sz w:val="24"/>
        <w:szCs w:val="24"/>
      </w:rPr>
    </w:lvl>
    <w:lvl w:ilvl="1">
      <w:start w:val="0"/>
      <w:numFmt w:val="bullet"/>
      <w:lvlText w:val="•"/>
      <w:lvlJc w:val="left"/>
      <w:pPr>
        <w:ind w:left="1118" w:hanging="720"/>
      </w:pPr>
      <w:rPr>
        <w:rFonts w:hint="default"/>
      </w:rPr>
    </w:lvl>
    <w:lvl w:ilvl="2">
      <w:start w:val="0"/>
      <w:numFmt w:val="bullet"/>
      <w:lvlText w:val="•"/>
      <w:lvlJc w:val="left"/>
      <w:pPr>
        <w:ind w:left="2117" w:hanging="720"/>
      </w:pPr>
      <w:rPr>
        <w:rFonts w:hint="default"/>
      </w:rPr>
    </w:lvl>
    <w:lvl w:ilvl="3">
      <w:start w:val="0"/>
      <w:numFmt w:val="bullet"/>
      <w:lvlText w:val="•"/>
      <w:lvlJc w:val="left"/>
      <w:pPr>
        <w:ind w:left="3115" w:hanging="720"/>
      </w:pPr>
      <w:rPr>
        <w:rFonts w:hint="default"/>
      </w:rPr>
    </w:lvl>
    <w:lvl w:ilvl="4">
      <w:start w:val="0"/>
      <w:numFmt w:val="bullet"/>
      <w:lvlText w:val="•"/>
      <w:lvlJc w:val="left"/>
      <w:pPr>
        <w:ind w:left="4114" w:hanging="720"/>
      </w:pPr>
      <w:rPr>
        <w:rFonts w:hint="default"/>
      </w:rPr>
    </w:lvl>
    <w:lvl w:ilvl="5">
      <w:start w:val="0"/>
      <w:numFmt w:val="bullet"/>
      <w:lvlText w:val="•"/>
      <w:lvlJc w:val="left"/>
      <w:pPr>
        <w:ind w:left="5113" w:hanging="720"/>
      </w:pPr>
      <w:rPr>
        <w:rFonts w:hint="default"/>
      </w:rPr>
    </w:lvl>
    <w:lvl w:ilvl="6">
      <w:start w:val="0"/>
      <w:numFmt w:val="bullet"/>
      <w:lvlText w:val="•"/>
      <w:lvlJc w:val="left"/>
      <w:pPr>
        <w:ind w:left="6111" w:hanging="720"/>
      </w:pPr>
      <w:rPr>
        <w:rFonts w:hint="default"/>
      </w:rPr>
    </w:lvl>
    <w:lvl w:ilvl="7">
      <w:start w:val="0"/>
      <w:numFmt w:val="bullet"/>
      <w:lvlText w:val="•"/>
      <w:lvlJc w:val="left"/>
      <w:pPr>
        <w:ind w:left="7110" w:hanging="720"/>
      </w:pPr>
      <w:rPr>
        <w:rFonts w:hint="default"/>
      </w:rPr>
    </w:lvl>
    <w:lvl w:ilvl="8">
      <w:start w:val="0"/>
      <w:numFmt w:val="bullet"/>
      <w:lvlText w:val="•"/>
      <w:lvlJc w:val="left"/>
      <w:pPr>
        <w:ind w:left="8108" w:hanging="720"/>
      </w:pPr>
      <w:rPr>
        <w:rFonts w:hint="default"/>
      </w:rPr>
    </w:lvl>
  </w:abstractNum>
  <w:abstractNum w:abstractNumId="48">
    <w:multiLevelType w:val="hybridMultilevel"/>
    <w:lvl w:ilvl="0">
      <w:start w:val="4"/>
      <w:numFmt w:val="decimal"/>
      <w:lvlText w:val="%1"/>
      <w:lvlJc w:val="left"/>
      <w:pPr>
        <w:ind w:left="1076" w:hanging="480"/>
        <w:jc w:val="left"/>
      </w:pPr>
      <w:rPr>
        <w:rFonts w:hint="default"/>
      </w:rPr>
    </w:lvl>
    <w:lvl w:ilvl="1">
      <w:start w:val="2"/>
      <w:numFmt w:val="decimal"/>
      <w:lvlText w:val="%1.%2"/>
      <w:lvlJc w:val="left"/>
      <w:pPr>
        <w:ind w:left="1076" w:hanging="480"/>
        <w:jc w:val="left"/>
      </w:pPr>
      <w:rPr>
        <w:rFonts w:hint="default" w:ascii="宋体" w:hAnsi="宋体" w:eastAsia="宋体" w:cs="宋体"/>
        <w:w w:val="100"/>
        <w:sz w:val="24"/>
        <w:szCs w:val="24"/>
      </w:rPr>
    </w:lvl>
    <w:lvl w:ilvl="2">
      <w:start w:val="1"/>
      <w:numFmt w:val="decimal"/>
      <w:lvlText w:val="%1.%2.%3"/>
      <w:lvlJc w:val="left"/>
      <w:pPr>
        <w:ind w:left="116" w:hanging="720"/>
        <w:jc w:val="left"/>
      </w:pPr>
      <w:rPr>
        <w:rFonts w:hint="default" w:ascii="宋体" w:hAnsi="宋体" w:eastAsia="宋体" w:cs="宋体"/>
        <w:w w:val="100"/>
        <w:sz w:val="24"/>
        <w:szCs w:val="24"/>
      </w:rPr>
    </w:lvl>
    <w:lvl w:ilvl="3">
      <w:start w:val="0"/>
      <w:numFmt w:val="bullet"/>
      <w:lvlText w:val="•"/>
      <w:lvlJc w:val="left"/>
      <w:pPr>
        <w:ind w:left="2418" w:hanging="720"/>
      </w:pPr>
      <w:rPr>
        <w:rFonts w:hint="default"/>
      </w:rPr>
    </w:lvl>
    <w:lvl w:ilvl="4">
      <w:start w:val="0"/>
      <w:numFmt w:val="bullet"/>
      <w:lvlText w:val="•"/>
      <w:lvlJc w:val="left"/>
      <w:pPr>
        <w:ind w:left="3516" w:hanging="720"/>
      </w:pPr>
      <w:rPr>
        <w:rFonts w:hint="default"/>
      </w:rPr>
    </w:lvl>
    <w:lvl w:ilvl="5">
      <w:start w:val="0"/>
      <w:numFmt w:val="bullet"/>
      <w:lvlText w:val="•"/>
      <w:lvlJc w:val="left"/>
      <w:pPr>
        <w:ind w:left="4614" w:hanging="720"/>
      </w:pPr>
      <w:rPr>
        <w:rFonts w:hint="default"/>
      </w:rPr>
    </w:lvl>
    <w:lvl w:ilvl="6">
      <w:start w:val="0"/>
      <w:numFmt w:val="bullet"/>
      <w:lvlText w:val="•"/>
      <w:lvlJc w:val="left"/>
      <w:pPr>
        <w:ind w:left="5713" w:hanging="720"/>
      </w:pPr>
      <w:rPr>
        <w:rFonts w:hint="default"/>
      </w:rPr>
    </w:lvl>
    <w:lvl w:ilvl="7">
      <w:start w:val="0"/>
      <w:numFmt w:val="bullet"/>
      <w:lvlText w:val="•"/>
      <w:lvlJc w:val="left"/>
      <w:pPr>
        <w:ind w:left="6811" w:hanging="720"/>
      </w:pPr>
      <w:rPr>
        <w:rFonts w:hint="default"/>
      </w:rPr>
    </w:lvl>
    <w:lvl w:ilvl="8">
      <w:start w:val="0"/>
      <w:numFmt w:val="bullet"/>
      <w:lvlText w:val="•"/>
      <w:lvlJc w:val="left"/>
      <w:pPr>
        <w:ind w:left="7909" w:hanging="720"/>
      </w:pPr>
      <w:rPr>
        <w:rFonts w:hint="default"/>
      </w:rPr>
    </w:lvl>
  </w:abstractNum>
  <w:abstractNum w:abstractNumId="47">
    <w:multiLevelType w:val="hybridMultilevel"/>
    <w:lvl w:ilvl="0">
      <w:start w:val="4"/>
      <w:numFmt w:val="decimal"/>
      <w:lvlText w:val="%1"/>
      <w:lvlJc w:val="left"/>
      <w:pPr>
        <w:ind w:left="1076" w:hanging="480"/>
        <w:jc w:val="left"/>
      </w:pPr>
      <w:rPr>
        <w:rFonts w:hint="default"/>
      </w:rPr>
    </w:lvl>
    <w:lvl w:ilvl="1">
      <w:start w:val="1"/>
      <w:numFmt w:val="decimal"/>
      <w:lvlText w:val="%1.%2"/>
      <w:lvlJc w:val="left"/>
      <w:pPr>
        <w:ind w:left="1076" w:hanging="480"/>
        <w:jc w:val="left"/>
      </w:pPr>
      <w:rPr>
        <w:rFonts w:hint="default" w:ascii="宋体" w:hAnsi="宋体" w:eastAsia="宋体" w:cs="宋体"/>
        <w:w w:val="100"/>
        <w:sz w:val="24"/>
        <w:szCs w:val="24"/>
      </w:rPr>
    </w:lvl>
    <w:lvl w:ilvl="2">
      <w:start w:val="1"/>
      <w:numFmt w:val="decimal"/>
      <w:lvlText w:val="%1.%2.%3"/>
      <w:lvlJc w:val="left"/>
      <w:pPr>
        <w:ind w:left="116" w:hanging="720"/>
        <w:jc w:val="left"/>
      </w:pPr>
      <w:rPr>
        <w:rFonts w:hint="default" w:ascii="宋体" w:hAnsi="宋体" w:eastAsia="宋体" w:cs="宋体"/>
        <w:w w:val="100"/>
        <w:sz w:val="24"/>
        <w:szCs w:val="24"/>
      </w:rPr>
    </w:lvl>
    <w:lvl w:ilvl="3">
      <w:start w:val="0"/>
      <w:numFmt w:val="bullet"/>
      <w:lvlText w:val="•"/>
      <w:lvlJc w:val="left"/>
      <w:pPr>
        <w:ind w:left="3085" w:hanging="720"/>
      </w:pPr>
      <w:rPr>
        <w:rFonts w:hint="default"/>
      </w:rPr>
    </w:lvl>
    <w:lvl w:ilvl="4">
      <w:start w:val="0"/>
      <w:numFmt w:val="bullet"/>
      <w:lvlText w:val="•"/>
      <w:lvlJc w:val="left"/>
      <w:pPr>
        <w:ind w:left="4088" w:hanging="720"/>
      </w:pPr>
      <w:rPr>
        <w:rFonts w:hint="default"/>
      </w:rPr>
    </w:lvl>
    <w:lvl w:ilvl="5">
      <w:start w:val="0"/>
      <w:numFmt w:val="bullet"/>
      <w:lvlText w:val="•"/>
      <w:lvlJc w:val="left"/>
      <w:pPr>
        <w:ind w:left="5091" w:hanging="720"/>
      </w:pPr>
      <w:rPr>
        <w:rFonts w:hint="default"/>
      </w:rPr>
    </w:lvl>
    <w:lvl w:ilvl="6">
      <w:start w:val="0"/>
      <w:numFmt w:val="bullet"/>
      <w:lvlText w:val="•"/>
      <w:lvlJc w:val="left"/>
      <w:pPr>
        <w:ind w:left="6094" w:hanging="720"/>
      </w:pPr>
      <w:rPr>
        <w:rFonts w:hint="default"/>
      </w:rPr>
    </w:lvl>
    <w:lvl w:ilvl="7">
      <w:start w:val="0"/>
      <w:numFmt w:val="bullet"/>
      <w:lvlText w:val="•"/>
      <w:lvlJc w:val="left"/>
      <w:pPr>
        <w:ind w:left="7097" w:hanging="720"/>
      </w:pPr>
      <w:rPr>
        <w:rFonts w:hint="default"/>
      </w:rPr>
    </w:lvl>
    <w:lvl w:ilvl="8">
      <w:start w:val="0"/>
      <w:numFmt w:val="bullet"/>
      <w:lvlText w:val="•"/>
      <w:lvlJc w:val="left"/>
      <w:pPr>
        <w:ind w:left="8100" w:hanging="720"/>
      </w:pPr>
      <w:rPr>
        <w:rFonts w:hint="default"/>
      </w:rPr>
    </w:lvl>
  </w:abstractNum>
  <w:abstractNum w:abstractNumId="46">
    <w:multiLevelType w:val="hybridMultilevel"/>
    <w:lvl w:ilvl="0">
      <w:start w:val="3"/>
      <w:numFmt w:val="decimal"/>
      <w:lvlText w:val="%1"/>
      <w:lvlJc w:val="left"/>
      <w:pPr>
        <w:ind w:left="116" w:hanging="480"/>
        <w:jc w:val="left"/>
      </w:pPr>
      <w:rPr>
        <w:rFonts w:hint="default"/>
      </w:rPr>
    </w:lvl>
    <w:lvl w:ilvl="1">
      <w:start w:val="1"/>
      <w:numFmt w:val="decimal"/>
      <w:lvlText w:val="%1.%2"/>
      <w:lvlJc w:val="left"/>
      <w:pPr>
        <w:ind w:left="116" w:hanging="480"/>
        <w:jc w:val="left"/>
      </w:pPr>
      <w:rPr>
        <w:rFonts w:hint="default" w:ascii="宋体" w:hAnsi="宋体" w:eastAsia="宋体" w:cs="宋体"/>
        <w:w w:val="100"/>
        <w:sz w:val="24"/>
        <w:szCs w:val="24"/>
      </w:rPr>
    </w:lvl>
    <w:lvl w:ilvl="2">
      <w:start w:val="0"/>
      <w:numFmt w:val="bullet"/>
      <w:lvlText w:val="•"/>
      <w:lvlJc w:val="left"/>
      <w:pPr>
        <w:ind w:left="2117" w:hanging="480"/>
      </w:pPr>
      <w:rPr>
        <w:rFonts w:hint="default"/>
      </w:rPr>
    </w:lvl>
    <w:lvl w:ilvl="3">
      <w:start w:val="0"/>
      <w:numFmt w:val="bullet"/>
      <w:lvlText w:val="•"/>
      <w:lvlJc w:val="left"/>
      <w:pPr>
        <w:ind w:left="3115" w:hanging="480"/>
      </w:pPr>
      <w:rPr>
        <w:rFonts w:hint="default"/>
      </w:rPr>
    </w:lvl>
    <w:lvl w:ilvl="4">
      <w:start w:val="0"/>
      <w:numFmt w:val="bullet"/>
      <w:lvlText w:val="•"/>
      <w:lvlJc w:val="left"/>
      <w:pPr>
        <w:ind w:left="4114" w:hanging="480"/>
      </w:pPr>
      <w:rPr>
        <w:rFonts w:hint="default"/>
      </w:rPr>
    </w:lvl>
    <w:lvl w:ilvl="5">
      <w:start w:val="0"/>
      <w:numFmt w:val="bullet"/>
      <w:lvlText w:val="•"/>
      <w:lvlJc w:val="left"/>
      <w:pPr>
        <w:ind w:left="5113" w:hanging="480"/>
      </w:pPr>
      <w:rPr>
        <w:rFonts w:hint="default"/>
      </w:rPr>
    </w:lvl>
    <w:lvl w:ilvl="6">
      <w:start w:val="0"/>
      <w:numFmt w:val="bullet"/>
      <w:lvlText w:val="•"/>
      <w:lvlJc w:val="left"/>
      <w:pPr>
        <w:ind w:left="6111" w:hanging="480"/>
      </w:pPr>
      <w:rPr>
        <w:rFonts w:hint="default"/>
      </w:rPr>
    </w:lvl>
    <w:lvl w:ilvl="7">
      <w:start w:val="0"/>
      <w:numFmt w:val="bullet"/>
      <w:lvlText w:val="•"/>
      <w:lvlJc w:val="left"/>
      <w:pPr>
        <w:ind w:left="7110" w:hanging="480"/>
      </w:pPr>
      <w:rPr>
        <w:rFonts w:hint="default"/>
      </w:rPr>
    </w:lvl>
    <w:lvl w:ilvl="8">
      <w:start w:val="0"/>
      <w:numFmt w:val="bullet"/>
      <w:lvlText w:val="•"/>
      <w:lvlJc w:val="left"/>
      <w:pPr>
        <w:ind w:left="8108" w:hanging="480"/>
      </w:pPr>
      <w:rPr>
        <w:rFonts w:hint="default"/>
      </w:rPr>
    </w:lvl>
  </w:abstractNum>
  <w:abstractNum w:abstractNumId="45">
    <w:multiLevelType w:val="hybridMultilevel"/>
    <w:lvl w:ilvl="0">
      <w:start w:val="1"/>
      <w:numFmt w:val="decimal"/>
      <w:lvlText w:val="%1)"/>
      <w:lvlJc w:val="left"/>
      <w:pPr>
        <w:ind w:left="116" w:hanging="363"/>
        <w:jc w:val="left"/>
      </w:pPr>
      <w:rPr>
        <w:rFonts w:hint="default" w:ascii="宋体" w:hAnsi="宋体" w:eastAsia="宋体" w:cs="宋体"/>
        <w:w w:val="100"/>
        <w:sz w:val="24"/>
        <w:szCs w:val="24"/>
      </w:rPr>
    </w:lvl>
    <w:lvl w:ilvl="1">
      <w:start w:val="0"/>
      <w:numFmt w:val="bullet"/>
      <w:lvlText w:val="•"/>
      <w:lvlJc w:val="left"/>
      <w:pPr>
        <w:ind w:left="1118" w:hanging="363"/>
      </w:pPr>
      <w:rPr>
        <w:rFonts w:hint="default"/>
      </w:rPr>
    </w:lvl>
    <w:lvl w:ilvl="2">
      <w:start w:val="0"/>
      <w:numFmt w:val="bullet"/>
      <w:lvlText w:val="•"/>
      <w:lvlJc w:val="left"/>
      <w:pPr>
        <w:ind w:left="2117" w:hanging="363"/>
      </w:pPr>
      <w:rPr>
        <w:rFonts w:hint="default"/>
      </w:rPr>
    </w:lvl>
    <w:lvl w:ilvl="3">
      <w:start w:val="0"/>
      <w:numFmt w:val="bullet"/>
      <w:lvlText w:val="•"/>
      <w:lvlJc w:val="left"/>
      <w:pPr>
        <w:ind w:left="3115" w:hanging="363"/>
      </w:pPr>
      <w:rPr>
        <w:rFonts w:hint="default"/>
      </w:rPr>
    </w:lvl>
    <w:lvl w:ilvl="4">
      <w:start w:val="0"/>
      <w:numFmt w:val="bullet"/>
      <w:lvlText w:val="•"/>
      <w:lvlJc w:val="left"/>
      <w:pPr>
        <w:ind w:left="4114" w:hanging="363"/>
      </w:pPr>
      <w:rPr>
        <w:rFonts w:hint="default"/>
      </w:rPr>
    </w:lvl>
    <w:lvl w:ilvl="5">
      <w:start w:val="0"/>
      <w:numFmt w:val="bullet"/>
      <w:lvlText w:val="•"/>
      <w:lvlJc w:val="left"/>
      <w:pPr>
        <w:ind w:left="5113" w:hanging="363"/>
      </w:pPr>
      <w:rPr>
        <w:rFonts w:hint="default"/>
      </w:rPr>
    </w:lvl>
    <w:lvl w:ilvl="6">
      <w:start w:val="0"/>
      <w:numFmt w:val="bullet"/>
      <w:lvlText w:val="•"/>
      <w:lvlJc w:val="left"/>
      <w:pPr>
        <w:ind w:left="6111" w:hanging="363"/>
      </w:pPr>
      <w:rPr>
        <w:rFonts w:hint="default"/>
      </w:rPr>
    </w:lvl>
    <w:lvl w:ilvl="7">
      <w:start w:val="0"/>
      <w:numFmt w:val="bullet"/>
      <w:lvlText w:val="•"/>
      <w:lvlJc w:val="left"/>
      <w:pPr>
        <w:ind w:left="7110" w:hanging="363"/>
      </w:pPr>
      <w:rPr>
        <w:rFonts w:hint="default"/>
      </w:rPr>
    </w:lvl>
    <w:lvl w:ilvl="8">
      <w:start w:val="0"/>
      <w:numFmt w:val="bullet"/>
      <w:lvlText w:val="•"/>
      <w:lvlJc w:val="left"/>
      <w:pPr>
        <w:ind w:left="8108" w:hanging="363"/>
      </w:pPr>
      <w:rPr>
        <w:rFonts w:hint="default"/>
      </w:rPr>
    </w:lvl>
  </w:abstractNum>
  <w:abstractNum w:abstractNumId="44">
    <w:multiLevelType w:val="hybridMultilevel"/>
    <w:lvl w:ilvl="0">
      <w:start w:val="2"/>
      <w:numFmt w:val="decimal"/>
      <w:lvlText w:val="%1"/>
      <w:lvlJc w:val="left"/>
      <w:pPr>
        <w:ind w:left="1076" w:hanging="480"/>
        <w:jc w:val="left"/>
      </w:pPr>
      <w:rPr>
        <w:rFonts w:hint="default"/>
      </w:rPr>
    </w:lvl>
    <w:lvl w:ilvl="1">
      <w:start w:val="1"/>
      <w:numFmt w:val="decimal"/>
      <w:lvlText w:val="%1.%2"/>
      <w:lvlJc w:val="left"/>
      <w:pPr>
        <w:ind w:left="1076" w:hanging="480"/>
        <w:jc w:val="left"/>
      </w:pPr>
      <w:rPr>
        <w:rFonts w:hint="default" w:ascii="宋体" w:hAnsi="宋体" w:eastAsia="宋体" w:cs="宋体"/>
        <w:w w:val="100"/>
        <w:sz w:val="24"/>
        <w:szCs w:val="24"/>
      </w:rPr>
    </w:lvl>
    <w:lvl w:ilvl="2">
      <w:start w:val="1"/>
      <w:numFmt w:val="decimal"/>
      <w:lvlText w:val="%1.%2.%3"/>
      <w:lvlJc w:val="left"/>
      <w:pPr>
        <w:ind w:left="116" w:hanging="720"/>
        <w:jc w:val="left"/>
      </w:pPr>
      <w:rPr>
        <w:rFonts w:hint="default" w:ascii="宋体" w:hAnsi="宋体" w:eastAsia="宋体" w:cs="宋体"/>
        <w:w w:val="100"/>
        <w:sz w:val="24"/>
        <w:szCs w:val="24"/>
      </w:rPr>
    </w:lvl>
    <w:lvl w:ilvl="3">
      <w:start w:val="0"/>
      <w:numFmt w:val="bullet"/>
      <w:lvlText w:val="•"/>
      <w:lvlJc w:val="left"/>
      <w:pPr>
        <w:ind w:left="3085" w:hanging="720"/>
      </w:pPr>
      <w:rPr>
        <w:rFonts w:hint="default"/>
      </w:rPr>
    </w:lvl>
    <w:lvl w:ilvl="4">
      <w:start w:val="0"/>
      <w:numFmt w:val="bullet"/>
      <w:lvlText w:val="•"/>
      <w:lvlJc w:val="left"/>
      <w:pPr>
        <w:ind w:left="4088" w:hanging="720"/>
      </w:pPr>
      <w:rPr>
        <w:rFonts w:hint="default"/>
      </w:rPr>
    </w:lvl>
    <w:lvl w:ilvl="5">
      <w:start w:val="0"/>
      <w:numFmt w:val="bullet"/>
      <w:lvlText w:val="•"/>
      <w:lvlJc w:val="left"/>
      <w:pPr>
        <w:ind w:left="5091" w:hanging="720"/>
      </w:pPr>
      <w:rPr>
        <w:rFonts w:hint="default"/>
      </w:rPr>
    </w:lvl>
    <w:lvl w:ilvl="6">
      <w:start w:val="0"/>
      <w:numFmt w:val="bullet"/>
      <w:lvlText w:val="•"/>
      <w:lvlJc w:val="left"/>
      <w:pPr>
        <w:ind w:left="6094" w:hanging="720"/>
      </w:pPr>
      <w:rPr>
        <w:rFonts w:hint="default"/>
      </w:rPr>
    </w:lvl>
    <w:lvl w:ilvl="7">
      <w:start w:val="0"/>
      <w:numFmt w:val="bullet"/>
      <w:lvlText w:val="•"/>
      <w:lvlJc w:val="left"/>
      <w:pPr>
        <w:ind w:left="7097" w:hanging="720"/>
      </w:pPr>
      <w:rPr>
        <w:rFonts w:hint="default"/>
      </w:rPr>
    </w:lvl>
    <w:lvl w:ilvl="8">
      <w:start w:val="0"/>
      <w:numFmt w:val="bullet"/>
      <w:lvlText w:val="•"/>
      <w:lvlJc w:val="left"/>
      <w:pPr>
        <w:ind w:left="8100" w:hanging="720"/>
      </w:pPr>
      <w:rPr>
        <w:rFonts w:hint="default"/>
      </w:rPr>
    </w:lvl>
  </w:abstractNum>
  <w:abstractNum w:abstractNumId="43">
    <w:multiLevelType w:val="hybridMultilevel"/>
    <w:lvl w:ilvl="0">
      <w:start w:val="3"/>
      <w:numFmt w:val="decimal"/>
      <w:lvlText w:val="%1"/>
      <w:lvlJc w:val="left"/>
      <w:pPr>
        <w:ind w:left="116" w:hanging="555"/>
        <w:jc w:val="left"/>
      </w:pPr>
      <w:rPr>
        <w:rFonts w:hint="default"/>
      </w:rPr>
    </w:lvl>
    <w:lvl w:ilvl="1">
      <w:start w:val="4"/>
      <w:numFmt w:val="decimal"/>
      <w:lvlText w:val="%1.%2"/>
      <w:lvlJc w:val="left"/>
      <w:pPr>
        <w:ind w:left="116" w:hanging="555"/>
        <w:jc w:val="left"/>
      </w:pPr>
      <w:rPr>
        <w:rFonts w:hint="default"/>
      </w:rPr>
    </w:lvl>
    <w:lvl w:ilvl="2">
      <w:start w:val="1"/>
      <w:numFmt w:val="decimal"/>
      <w:lvlText w:val="%1.%2.%3"/>
      <w:lvlJc w:val="left"/>
      <w:pPr>
        <w:ind w:left="116" w:hanging="555"/>
        <w:jc w:val="right"/>
      </w:pPr>
      <w:rPr>
        <w:rFonts w:hint="default" w:ascii="Calibri" w:hAnsi="Calibri" w:eastAsia="Calibri" w:cs="Calibri"/>
        <w:spacing w:val="0"/>
        <w:w w:val="99"/>
        <w:sz w:val="20"/>
        <w:szCs w:val="20"/>
      </w:rPr>
    </w:lvl>
    <w:lvl w:ilvl="3">
      <w:start w:val="0"/>
      <w:numFmt w:val="bullet"/>
      <w:lvlText w:val="•"/>
      <w:lvlJc w:val="left"/>
      <w:pPr>
        <w:ind w:left="3115" w:hanging="555"/>
      </w:pPr>
      <w:rPr>
        <w:rFonts w:hint="default"/>
      </w:rPr>
    </w:lvl>
    <w:lvl w:ilvl="4">
      <w:start w:val="0"/>
      <w:numFmt w:val="bullet"/>
      <w:lvlText w:val="•"/>
      <w:lvlJc w:val="left"/>
      <w:pPr>
        <w:ind w:left="4114" w:hanging="555"/>
      </w:pPr>
      <w:rPr>
        <w:rFonts w:hint="default"/>
      </w:rPr>
    </w:lvl>
    <w:lvl w:ilvl="5">
      <w:start w:val="0"/>
      <w:numFmt w:val="bullet"/>
      <w:lvlText w:val="•"/>
      <w:lvlJc w:val="left"/>
      <w:pPr>
        <w:ind w:left="5113" w:hanging="555"/>
      </w:pPr>
      <w:rPr>
        <w:rFonts w:hint="default"/>
      </w:rPr>
    </w:lvl>
    <w:lvl w:ilvl="6">
      <w:start w:val="0"/>
      <w:numFmt w:val="bullet"/>
      <w:lvlText w:val="•"/>
      <w:lvlJc w:val="left"/>
      <w:pPr>
        <w:ind w:left="6111" w:hanging="555"/>
      </w:pPr>
      <w:rPr>
        <w:rFonts w:hint="default"/>
      </w:rPr>
    </w:lvl>
    <w:lvl w:ilvl="7">
      <w:start w:val="0"/>
      <w:numFmt w:val="bullet"/>
      <w:lvlText w:val="•"/>
      <w:lvlJc w:val="left"/>
      <w:pPr>
        <w:ind w:left="7110" w:hanging="555"/>
      </w:pPr>
      <w:rPr>
        <w:rFonts w:hint="default"/>
      </w:rPr>
    </w:lvl>
    <w:lvl w:ilvl="8">
      <w:start w:val="0"/>
      <w:numFmt w:val="bullet"/>
      <w:lvlText w:val="•"/>
      <w:lvlJc w:val="left"/>
      <w:pPr>
        <w:ind w:left="8108" w:hanging="555"/>
      </w:pPr>
      <w:rPr>
        <w:rFonts w:hint="default"/>
      </w:rPr>
    </w:lvl>
  </w:abstractNum>
  <w:abstractNum w:abstractNumId="42">
    <w:multiLevelType w:val="hybridMultilevel"/>
    <w:lvl w:ilvl="0">
      <w:start w:val="3"/>
      <w:numFmt w:val="decimal"/>
      <w:lvlText w:val="%1"/>
      <w:lvlJc w:val="left"/>
      <w:pPr>
        <w:ind w:left="116" w:hanging="536"/>
        <w:jc w:val="left"/>
      </w:pPr>
      <w:rPr>
        <w:rFonts w:hint="default"/>
      </w:rPr>
    </w:lvl>
    <w:lvl w:ilvl="1">
      <w:start w:val="3"/>
      <w:numFmt w:val="decimal"/>
      <w:lvlText w:val="%1.%2"/>
      <w:lvlJc w:val="left"/>
      <w:pPr>
        <w:ind w:left="116" w:hanging="536"/>
        <w:jc w:val="left"/>
      </w:pPr>
      <w:rPr>
        <w:rFonts w:hint="default"/>
      </w:rPr>
    </w:lvl>
    <w:lvl w:ilvl="2">
      <w:start w:val="1"/>
      <w:numFmt w:val="decimal"/>
      <w:lvlText w:val="%1.%2.%3"/>
      <w:lvlJc w:val="left"/>
      <w:pPr>
        <w:ind w:left="116" w:hanging="536"/>
        <w:jc w:val="left"/>
      </w:pPr>
      <w:rPr>
        <w:rFonts w:hint="default" w:ascii="Calibri" w:hAnsi="Calibri" w:eastAsia="Calibri" w:cs="Calibri"/>
        <w:spacing w:val="0"/>
        <w:w w:val="99"/>
        <w:sz w:val="20"/>
        <w:szCs w:val="20"/>
      </w:rPr>
    </w:lvl>
    <w:lvl w:ilvl="3">
      <w:start w:val="0"/>
      <w:numFmt w:val="bullet"/>
      <w:lvlText w:val="•"/>
      <w:lvlJc w:val="left"/>
      <w:pPr>
        <w:ind w:left="3115" w:hanging="536"/>
      </w:pPr>
      <w:rPr>
        <w:rFonts w:hint="default"/>
      </w:rPr>
    </w:lvl>
    <w:lvl w:ilvl="4">
      <w:start w:val="0"/>
      <w:numFmt w:val="bullet"/>
      <w:lvlText w:val="•"/>
      <w:lvlJc w:val="left"/>
      <w:pPr>
        <w:ind w:left="4114" w:hanging="536"/>
      </w:pPr>
      <w:rPr>
        <w:rFonts w:hint="default"/>
      </w:rPr>
    </w:lvl>
    <w:lvl w:ilvl="5">
      <w:start w:val="0"/>
      <w:numFmt w:val="bullet"/>
      <w:lvlText w:val="•"/>
      <w:lvlJc w:val="left"/>
      <w:pPr>
        <w:ind w:left="5113" w:hanging="536"/>
      </w:pPr>
      <w:rPr>
        <w:rFonts w:hint="default"/>
      </w:rPr>
    </w:lvl>
    <w:lvl w:ilvl="6">
      <w:start w:val="0"/>
      <w:numFmt w:val="bullet"/>
      <w:lvlText w:val="•"/>
      <w:lvlJc w:val="left"/>
      <w:pPr>
        <w:ind w:left="6111" w:hanging="536"/>
      </w:pPr>
      <w:rPr>
        <w:rFonts w:hint="default"/>
      </w:rPr>
    </w:lvl>
    <w:lvl w:ilvl="7">
      <w:start w:val="0"/>
      <w:numFmt w:val="bullet"/>
      <w:lvlText w:val="•"/>
      <w:lvlJc w:val="left"/>
      <w:pPr>
        <w:ind w:left="7110" w:hanging="536"/>
      </w:pPr>
      <w:rPr>
        <w:rFonts w:hint="default"/>
      </w:rPr>
    </w:lvl>
    <w:lvl w:ilvl="8">
      <w:start w:val="0"/>
      <w:numFmt w:val="bullet"/>
      <w:lvlText w:val="•"/>
      <w:lvlJc w:val="left"/>
      <w:pPr>
        <w:ind w:left="8108" w:hanging="536"/>
      </w:pPr>
      <w:rPr>
        <w:rFonts w:hint="default"/>
      </w:rPr>
    </w:lvl>
  </w:abstractNum>
  <w:abstractNum w:abstractNumId="41">
    <w:multiLevelType w:val="hybridMultilevel"/>
    <w:lvl w:ilvl="0">
      <w:start w:val="3"/>
      <w:numFmt w:val="decimal"/>
      <w:lvlText w:val="%1"/>
      <w:lvlJc w:val="left"/>
      <w:pPr>
        <w:ind w:left="1049" w:hanging="509"/>
        <w:jc w:val="left"/>
      </w:pPr>
      <w:rPr>
        <w:rFonts w:hint="default"/>
      </w:rPr>
    </w:lvl>
    <w:lvl w:ilvl="1">
      <w:start w:val="2"/>
      <w:numFmt w:val="decimal"/>
      <w:lvlText w:val="%1.%2"/>
      <w:lvlJc w:val="left"/>
      <w:pPr>
        <w:ind w:left="1049" w:hanging="509"/>
        <w:jc w:val="left"/>
      </w:pPr>
      <w:rPr>
        <w:rFonts w:hint="default"/>
      </w:rPr>
    </w:lvl>
    <w:lvl w:ilvl="2">
      <w:start w:val="1"/>
      <w:numFmt w:val="decimal"/>
      <w:lvlText w:val="%1.%2.%3"/>
      <w:lvlJc w:val="left"/>
      <w:pPr>
        <w:ind w:left="132" w:hanging="509"/>
        <w:jc w:val="left"/>
      </w:pPr>
      <w:rPr>
        <w:rFonts w:hint="default" w:ascii="Calibri" w:hAnsi="Calibri" w:eastAsia="Calibri" w:cs="Calibri"/>
        <w:spacing w:val="0"/>
        <w:w w:val="99"/>
        <w:sz w:val="20"/>
        <w:szCs w:val="20"/>
      </w:rPr>
    </w:lvl>
    <w:lvl w:ilvl="3">
      <w:start w:val="0"/>
      <w:numFmt w:val="bullet"/>
      <w:lvlText w:val="•"/>
      <w:lvlJc w:val="left"/>
      <w:pPr>
        <w:ind w:left="3054" w:hanging="509"/>
      </w:pPr>
      <w:rPr>
        <w:rFonts w:hint="default"/>
      </w:rPr>
    </w:lvl>
    <w:lvl w:ilvl="4">
      <w:start w:val="0"/>
      <w:numFmt w:val="bullet"/>
      <w:lvlText w:val="•"/>
      <w:lvlJc w:val="left"/>
      <w:pPr>
        <w:ind w:left="4062" w:hanging="509"/>
      </w:pPr>
      <w:rPr>
        <w:rFonts w:hint="default"/>
      </w:rPr>
    </w:lvl>
    <w:lvl w:ilvl="5">
      <w:start w:val="0"/>
      <w:numFmt w:val="bullet"/>
      <w:lvlText w:val="•"/>
      <w:lvlJc w:val="left"/>
      <w:pPr>
        <w:ind w:left="5069" w:hanging="509"/>
      </w:pPr>
      <w:rPr>
        <w:rFonts w:hint="default"/>
      </w:rPr>
    </w:lvl>
    <w:lvl w:ilvl="6">
      <w:start w:val="0"/>
      <w:numFmt w:val="bullet"/>
      <w:lvlText w:val="•"/>
      <w:lvlJc w:val="left"/>
      <w:pPr>
        <w:ind w:left="6076" w:hanging="509"/>
      </w:pPr>
      <w:rPr>
        <w:rFonts w:hint="default"/>
      </w:rPr>
    </w:lvl>
    <w:lvl w:ilvl="7">
      <w:start w:val="0"/>
      <w:numFmt w:val="bullet"/>
      <w:lvlText w:val="•"/>
      <w:lvlJc w:val="left"/>
      <w:pPr>
        <w:ind w:left="7084" w:hanging="509"/>
      </w:pPr>
      <w:rPr>
        <w:rFonts w:hint="default"/>
      </w:rPr>
    </w:lvl>
    <w:lvl w:ilvl="8">
      <w:start w:val="0"/>
      <w:numFmt w:val="bullet"/>
      <w:lvlText w:val="•"/>
      <w:lvlJc w:val="left"/>
      <w:pPr>
        <w:ind w:left="8091" w:hanging="509"/>
      </w:pPr>
      <w:rPr>
        <w:rFonts w:hint="default"/>
      </w:rPr>
    </w:lvl>
  </w:abstractNum>
  <w:abstractNum w:abstractNumId="40">
    <w:multiLevelType w:val="hybridMultilevel"/>
    <w:lvl w:ilvl="0">
      <w:start w:val="3"/>
      <w:numFmt w:val="decimal"/>
      <w:lvlText w:val="%1"/>
      <w:lvlJc w:val="left"/>
      <w:pPr>
        <w:ind w:left="116" w:hanging="528"/>
        <w:jc w:val="left"/>
      </w:pPr>
      <w:rPr>
        <w:rFonts w:hint="default"/>
      </w:rPr>
    </w:lvl>
    <w:lvl w:ilvl="1">
      <w:start w:val="1"/>
      <w:numFmt w:val="decimal"/>
      <w:lvlText w:val="%1.%2"/>
      <w:lvlJc w:val="left"/>
      <w:pPr>
        <w:ind w:left="116" w:hanging="528"/>
        <w:jc w:val="left"/>
      </w:pPr>
      <w:rPr>
        <w:rFonts w:hint="default"/>
      </w:rPr>
    </w:lvl>
    <w:lvl w:ilvl="2">
      <w:start w:val="1"/>
      <w:numFmt w:val="decimal"/>
      <w:lvlText w:val="%1.%2.%3"/>
      <w:lvlJc w:val="left"/>
      <w:pPr>
        <w:ind w:left="116" w:hanging="528"/>
        <w:jc w:val="left"/>
      </w:pPr>
      <w:rPr>
        <w:rFonts w:hint="default" w:ascii="Calibri" w:hAnsi="Calibri" w:eastAsia="Calibri" w:cs="Calibri"/>
        <w:spacing w:val="0"/>
        <w:w w:val="99"/>
        <w:sz w:val="20"/>
        <w:szCs w:val="20"/>
      </w:rPr>
    </w:lvl>
    <w:lvl w:ilvl="3">
      <w:start w:val="0"/>
      <w:numFmt w:val="bullet"/>
      <w:lvlText w:val="•"/>
      <w:lvlJc w:val="left"/>
      <w:pPr>
        <w:ind w:left="3115" w:hanging="528"/>
      </w:pPr>
      <w:rPr>
        <w:rFonts w:hint="default"/>
      </w:rPr>
    </w:lvl>
    <w:lvl w:ilvl="4">
      <w:start w:val="0"/>
      <w:numFmt w:val="bullet"/>
      <w:lvlText w:val="•"/>
      <w:lvlJc w:val="left"/>
      <w:pPr>
        <w:ind w:left="4114" w:hanging="528"/>
      </w:pPr>
      <w:rPr>
        <w:rFonts w:hint="default"/>
      </w:rPr>
    </w:lvl>
    <w:lvl w:ilvl="5">
      <w:start w:val="0"/>
      <w:numFmt w:val="bullet"/>
      <w:lvlText w:val="•"/>
      <w:lvlJc w:val="left"/>
      <w:pPr>
        <w:ind w:left="5113" w:hanging="528"/>
      </w:pPr>
      <w:rPr>
        <w:rFonts w:hint="default"/>
      </w:rPr>
    </w:lvl>
    <w:lvl w:ilvl="6">
      <w:start w:val="0"/>
      <w:numFmt w:val="bullet"/>
      <w:lvlText w:val="•"/>
      <w:lvlJc w:val="left"/>
      <w:pPr>
        <w:ind w:left="6111" w:hanging="528"/>
      </w:pPr>
      <w:rPr>
        <w:rFonts w:hint="default"/>
      </w:rPr>
    </w:lvl>
    <w:lvl w:ilvl="7">
      <w:start w:val="0"/>
      <w:numFmt w:val="bullet"/>
      <w:lvlText w:val="•"/>
      <w:lvlJc w:val="left"/>
      <w:pPr>
        <w:ind w:left="7110" w:hanging="528"/>
      </w:pPr>
      <w:rPr>
        <w:rFonts w:hint="default"/>
      </w:rPr>
    </w:lvl>
    <w:lvl w:ilvl="8">
      <w:start w:val="0"/>
      <w:numFmt w:val="bullet"/>
      <w:lvlText w:val="•"/>
      <w:lvlJc w:val="left"/>
      <w:pPr>
        <w:ind w:left="8108" w:hanging="528"/>
      </w:pPr>
      <w:rPr>
        <w:rFonts w:hint="default"/>
      </w:rPr>
    </w:lvl>
  </w:abstractNum>
  <w:abstractNum w:abstractNumId="39">
    <w:multiLevelType w:val="hybridMultilevel"/>
    <w:lvl w:ilvl="0">
      <w:start w:val="2"/>
      <w:numFmt w:val="decimal"/>
      <w:lvlText w:val="%1"/>
      <w:lvlJc w:val="left"/>
      <w:pPr>
        <w:ind w:left="992" w:hanging="452"/>
        <w:jc w:val="left"/>
      </w:pPr>
      <w:rPr>
        <w:rFonts w:hint="default"/>
      </w:rPr>
    </w:lvl>
    <w:lvl w:ilvl="1">
      <w:start w:val="2"/>
      <w:numFmt w:val="decimal"/>
      <w:lvlText w:val="%1.%2"/>
      <w:lvlJc w:val="left"/>
      <w:pPr>
        <w:ind w:left="992" w:hanging="452"/>
        <w:jc w:val="left"/>
      </w:pPr>
      <w:rPr>
        <w:rFonts w:hint="default"/>
      </w:rPr>
    </w:lvl>
    <w:lvl w:ilvl="2">
      <w:start w:val="1"/>
      <w:numFmt w:val="decimal"/>
      <w:lvlText w:val="%1.%2.%3"/>
      <w:lvlJc w:val="left"/>
      <w:pPr>
        <w:ind w:left="992" w:hanging="452"/>
        <w:jc w:val="left"/>
      </w:pPr>
      <w:rPr>
        <w:rFonts w:hint="default" w:ascii="Calibri" w:hAnsi="Calibri" w:eastAsia="Calibri" w:cs="Calibri"/>
        <w:spacing w:val="-1"/>
        <w:w w:val="99"/>
        <w:sz w:val="20"/>
        <w:szCs w:val="20"/>
      </w:rPr>
    </w:lvl>
    <w:lvl w:ilvl="3">
      <w:start w:val="0"/>
      <w:numFmt w:val="bullet"/>
      <w:lvlText w:val="•"/>
      <w:lvlJc w:val="left"/>
      <w:pPr>
        <w:ind w:left="3731" w:hanging="452"/>
      </w:pPr>
      <w:rPr>
        <w:rFonts w:hint="default"/>
      </w:rPr>
    </w:lvl>
    <w:lvl w:ilvl="4">
      <w:start w:val="0"/>
      <w:numFmt w:val="bullet"/>
      <w:lvlText w:val="•"/>
      <w:lvlJc w:val="left"/>
      <w:pPr>
        <w:ind w:left="4642" w:hanging="452"/>
      </w:pPr>
      <w:rPr>
        <w:rFonts w:hint="default"/>
      </w:rPr>
    </w:lvl>
    <w:lvl w:ilvl="5">
      <w:start w:val="0"/>
      <w:numFmt w:val="bullet"/>
      <w:lvlText w:val="•"/>
      <w:lvlJc w:val="left"/>
      <w:pPr>
        <w:ind w:left="5553" w:hanging="452"/>
      </w:pPr>
      <w:rPr>
        <w:rFonts w:hint="default"/>
      </w:rPr>
    </w:lvl>
    <w:lvl w:ilvl="6">
      <w:start w:val="0"/>
      <w:numFmt w:val="bullet"/>
      <w:lvlText w:val="•"/>
      <w:lvlJc w:val="left"/>
      <w:pPr>
        <w:ind w:left="6463" w:hanging="452"/>
      </w:pPr>
      <w:rPr>
        <w:rFonts w:hint="default"/>
      </w:rPr>
    </w:lvl>
    <w:lvl w:ilvl="7">
      <w:start w:val="0"/>
      <w:numFmt w:val="bullet"/>
      <w:lvlText w:val="•"/>
      <w:lvlJc w:val="left"/>
      <w:pPr>
        <w:ind w:left="7374" w:hanging="452"/>
      </w:pPr>
      <w:rPr>
        <w:rFonts w:hint="default"/>
      </w:rPr>
    </w:lvl>
    <w:lvl w:ilvl="8">
      <w:start w:val="0"/>
      <w:numFmt w:val="bullet"/>
      <w:lvlText w:val="•"/>
      <w:lvlJc w:val="left"/>
      <w:pPr>
        <w:ind w:left="8284" w:hanging="452"/>
      </w:pPr>
      <w:rPr>
        <w:rFonts w:hint="default"/>
      </w:rPr>
    </w:lvl>
  </w:abstractNum>
  <w:abstractNum w:abstractNumId="38">
    <w:multiLevelType w:val="hybridMultilevel"/>
    <w:lvl w:ilvl="0">
      <w:start w:val="2"/>
      <w:numFmt w:val="decimal"/>
      <w:lvlText w:val="%1"/>
      <w:lvlJc w:val="left"/>
      <w:pPr>
        <w:ind w:left="1059" w:hanging="519"/>
        <w:jc w:val="left"/>
      </w:pPr>
      <w:rPr>
        <w:rFonts w:hint="default"/>
      </w:rPr>
    </w:lvl>
    <w:lvl w:ilvl="1">
      <w:start w:val="1"/>
      <w:numFmt w:val="decimal"/>
      <w:lvlText w:val="%1.%2"/>
      <w:lvlJc w:val="left"/>
      <w:pPr>
        <w:ind w:left="1059" w:hanging="519"/>
        <w:jc w:val="left"/>
      </w:pPr>
      <w:rPr>
        <w:rFonts w:hint="default"/>
      </w:rPr>
    </w:lvl>
    <w:lvl w:ilvl="2">
      <w:start w:val="1"/>
      <w:numFmt w:val="decimal"/>
      <w:lvlText w:val="%1.%2.%3"/>
      <w:lvlJc w:val="left"/>
      <w:pPr>
        <w:ind w:left="1059" w:hanging="519"/>
        <w:jc w:val="left"/>
      </w:pPr>
      <w:rPr>
        <w:rFonts w:hint="default" w:ascii="Calibri" w:hAnsi="Calibri" w:eastAsia="Calibri" w:cs="Calibri"/>
        <w:spacing w:val="0"/>
        <w:w w:val="99"/>
        <w:sz w:val="20"/>
        <w:szCs w:val="20"/>
      </w:rPr>
    </w:lvl>
    <w:lvl w:ilvl="3">
      <w:start w:val="0"/>
      <w:numFmt w:val="bullet"/>
      <w:lvlText w:val="•"/>
      <w:lvlJc w:val="left"/>
      <w:pPr>
        <w:ind w:left="3773" w:hanging="519"/>
      </w:pPr>
      <w:rPr>
        <w:rFonts w:hint="default"/>
      </w:rPr>
    </w:lvl>
    <w:lvl w:ilvl="4">
      <w:start w:val="0"/>
      <w:numFmt w:val="bullet"/>
      <w:lvlText w:val="•"/>
      <w:lvlJc w:val="left"/>
      <w:pPr>
        <w:ind w:left="4678" w:hanging="519"/>
      </w:pPr>
      <w:rPr>
        <w:rFonts w:hint="default"/>
      </w:rPr>
    </w:lvl>
    <w:lvl w:ilvl="5">
      <w:start w:val="0"/>
      <w:numFmt w:val="bullet"/>
      <w:lvlText w:val="•"/>
      <w:lvlJc w:val="left"/>
      <w:pPr>
        <w:ind w:left="5583" w:hanging="519"/>
      </w:pPr>
      <w:rPr>
        <w:rFonts w:hint="default"/>
      </w:rPr>
    </w:lvl>
    <w:lvl w:ilvl="6">
      <w:start w:val="0"/>
      <w:numFmt w:val="bullet"/>
      <w:lvlText w:val="•"/>
      <w:lvlJc w:val="left"/>
      <w:pPr>
        <w:ind w:left="6487" w:hanging="519"/>
      </w:pPr>
      <w:rPr>
        <w:rFonts w:hint="default"/>
      </w:rPr>
    </w:lvl>
    <w:lvl w:ilvl="7">
      <w:start w:val="0"/>
      <w:numFmt w:val="bullet"/>
      <w:lvlText w:val="•"/>
      <w:lvlJc w:val="left"/>
      <w:pPr>
        <w:ind w:left="7392" w:hanging="519"/>
      </w:pPr>
      <w:rPr>
        <w:rFonts w:hint="default"/>
      </w:rPr>
    </w:lvl>
    <w:lvl w:ilvl="8">
      <w:start w:val="0"/>
      <w:numFmt w:val="bullet"/>
      <w:lvlText w:val="•"/>
      <w:lvlJc w:val="left"/>
      <w:pPr>
        <w:ind w:left="8296" w:hanging="519"/>
      </w:pPr>
      <w:rPr>
        <w:rFonts w:hint="default"/>
      </w:rPr>
    </w:lvl>
  </w:abstractNum>
  <w:abstractNum w:abstractNumId="37">
    <w:multiLevelType w:val="hybridMultilevel"/>
    <w:lvl w:ilvl="0">
      <w:start w:val="8"/>
      <w:numFmt w:val="decimal"/>
      <w:lvlText w:val="%1"/>
      <w:lvlJc w:val="left"/>
      <w:pPr>
        <w:ind w:left="1313" w:hanging="502"/>
        <w:jc w:val="left"/>
      </w:pPr>
      <w:rPr>
        <w:rFonts w:hint="default"/>
      </w:rPr>
    </w:lvl>
    <w:lvl w:ilvl="1">
      <w:start w:val="1"/>
      <w:numFmt w:val="decimal"/>
      <w:lvlText w:val="%1.%2"/>
      <w:lvlJc w:val="left"/>
      <w:pPr>
        <w:ind w:left="1313" w:hanging="502"/>
        <w:jc w:val="left"/>
      </w:pPr>
      <w:rPr>
        <w:rFonts w:hint="default" w:ascii="黑体" w:hAnsi="黑体" w:eastAsia="黑体" w:cs="黑体"/>
        <w:spacing w:val="-2"/>
        <w:w w:val="100"/>
        <w:sz w:val="28"/>
        <w:szCs w:val="28"/>
      </w:rPr>
    </w:lvl>
    <w:lvl w:ilvl="2">
      <w:start w:val="0"/>
      <w:numFmt w:val="bullet"/>
      <w:lvlText w:val="•"/>
      <w:lvlJc w:val="left"/>
      <w:pPr>
        <w:ind w:left="3077" w:hanging="502"/>
      </w:pPr>
      <w:rPr>
        <w:rFonts w:hint="default"/>
      </w:rPr>
    </w:lvl>
    <w:lvl w:ilvl="3">
      <w:start w:val="0"/>
      <w:numFmt w:val="bullet"/>
      <w:lvlText w:val="•"/>
      <w:lvlJc w:val="left"/>
      <w:pPr>
        <w:ind w:left="3955" w:hanging="502"/>
      </w:pPr>
      <w:rPr>
        <w:rFonts w:hint="default"/>
      </w:rPr>
    </w:lvl>
    <w:lvl w:ilvl="4">
      <w:start w:val="0"/>
      <w:numFmt w:val="bullet"/>
      <w:lvlText w:val="•"/>
      <w:lvlJc w:val="left"/>
      <w:pPr>
        <w:ind w:left="4834" w:hanging="502"/>
      </w:pPr>
      <w:rPr>
        <w:rFonts w:hint="default"/>
      </w:rPr>
    </w:lvl>
    <w:lvl w:ilvl="5">
      <w:start w:val="0"/>
      <w:numFmt w:val="bullet"/>
      <w:lvlText w:val="•"/>
      <w:lvlJc w:val="left"/>
      <w:pPr>
        <w:ind w:left="5713" w:hanging="502"/>
      </w:pPr>
      <w:rPr>
        <w:rFonts w:hint="default"/>
      </w:rPr>
    </w:lvl>
    <w:lvl w:ilvl="6">
      <w:start w:val="0"/>
      <w:numFmt w:val="bullet"/>
      <w:lvlText w:val="•"/>
      <w:lvlJc w:val="left"/>
      <w:pPr>
        <w:ind w:left="6591" w:hanging="502"/>
      </w:pPr>
      <w:rPr>
        <w:rFonts w:hint="default"/>
      </w:rPr>
    </w:lvl>
    <w:lvl w:ilvl="7">
      <w:start w:val="0"/>
      <w:numFmt w:val="bullet"/>
      <w:lvlText w:val="•"/>
      <w:lvlJc w:val="left"/>
      <w:pPr>
        <w:ind w:left="7470" w:hanging="502"/>
      </w:pPr>
      <w:rPr>
        <w:rFonts w:hint="default"/>
      </w:rPr>
    </w:lvl>
    <w:lvl w:ilvl="8">
      <w:start w:val="0"/>
      <w:numFmt w:val="bullet"/>
      <w:lvlText w:val="•"/>
      <w:lvlJc w:val="left"/>
      <w:pPr>
        <w:ind w:left="8348" w:hanging="502"/>
      </w:pPr>
      <w:rPr>
        <w:rFonts w:hint="default"/>
      </w:rPr>
    </w:lvl>
  </w:abstractNum>
  <w:abstractNum w:abstractNumId="36">
    <w:multiLevelType w:val="hybridMultilevel"/>
    <w:lvl w:ilvl="0">
      <w:start w:val="7"/>
      <w:numFmt w:val="decimal"/>
      <w:lvlText w:val="%1"/>
      <w:lvlJc w:val="left"/>
      <w:pPr>
        <w:ind w:left="116" w:hanging="536"/>
        <w:jc w:val="left"/>
      </w:pPr>
      <w:rPr>
        <w:rFonts w:hint="default"/>
      </w:rPr>
    </w:lvl>
    <w:lvl w:ilvl="1">
      <w:start w:val="7"/>
      <w:numFmt w:val="decimal"/>
      <w:lvlText w:val="%1.%2"/>
      <w:lvlJc w:val="left"/>
      <w:pPr>
        <w:ind w:left="116" w:hanging="536"/>
        <w:jc w:val="left"/>
      </w:pPr>
      <w:rPr>
        <w:rFonts w:hint="default"/>
      </w:rPr>
    </w:lvl>
    <w:lvl w:ilvl="2">
      <w:start w:val="1"/>
      <w:numFmt w:val="decimal"/>
      <w:lvlText w:val="%1.%2.%3"/>
      <w:lvlJc w:val="left"/>
      <w:pPr>
        <w:ind w:left="116" w:hanging="536"/>
        <w:jc w:val="left"/>
      </w:pPr>
      <w:rPr>
        <w:rFonts w:hint="default" w:ascii="Calibri" w:hAnsi="Calibri" w:eastAsia="Calibri" w:cs="Calibri"/>
        <w:spacing w:val="0"/>
        <w:w w:val="99"/>
        <w:sz w:val="20"/>
        <w:szCs w:val="20"/>
      </w:rPr>
    </w:lvl>
    <w:lvl w:ilvl="3">
      <w:start w:val="0"/>
      <w:numFmt w:val="bullet"/>
      <w:lvlText w:val="•"/>
      <w:lvlJc w:val="left"/>
      <w:pPr>
        <w:ind w:left="3115" w:hanging="536"/>
      </w:pPr>
      <w:rPr>
        <w:rFonts w:hint="default"/>
      </w:rPr>
    </w:lvl>
    <w:lvl w:ilvl="4">
      <w:start w:val="0"/>
      <w:numFmt w:val="bullet"/>
      <w:lvlText w:val="•"/>
      <w:lvlJc w:val="left"/>
      <w:pPr>
        <w:ind w:left="4114" w:hanging="536"/>
      </w:pPr>
      <w:rPr>
        <w:rFonts w:hint="default"/>
      </w:rPr>
    </w:lvl>
    <w:lvl w:ilvl="5">
      <w:start w:val="0"/>
      <w:numFmt w:val="bullet"/>
      <w:lvlText w:val="•"/>
      <w:lvlJc w:val="left"/>
      <w:pPr>
        <w:ind w:left="5113" w:hanging="536"/>
      </w:pPr>
      <w:rPr>
        <w:rFonts w:hint="default"/>
      </w:rPr>
    </w:lvl>
    <w:lvl w:ilvl="6">
      <w:start w:val="0"/>
      <w:numFmt w:val="bullet"/>
      <w:lvlText w:val="•"/>
      <w:lvlJc w:val="left"/>
      <w:pPr>
        <w:ind w:left="6111" w:hanging="536"/>
      </w:pPr>
      <w:rPr>
        <w:rFonts w:hint="default"/>
      </w:rPr>
    </w:lvl>
    <w:lvl w:ilvl="7">
      <w:start w:val="0"/>
      <w:numFmt w:val="bullet"/>
      <w:lvlText w:val="•"/>
      <w:lvlJc w:val="left"/>
      <w:pPr>
        <w:ind w:left="7110" w:hanging="536"/>
      </w:pPr>
      <w:rPr>
        <w:rFonts w:hint="default"/>
      </w:rPr>
    </w:lvl>
    <w:lvl w:ilvl="8">
      <w:start w:val="0"/>
      <w:numFmt w:val="bullet"/>
      <w:lvlText w:val="•"/>
      <w:lvlJc w:val="left"/>
      <w:pPr>
        <w:ind w:left="8108" w:hanging="536"/>
      </w:pPr>
      <w:rPr>
        <w:rFonts w:hint="default"/>
      </w:rPr>
    </w:lvl>
  </w:abstractNum>
  <w:abstractNum w:abstractNumId="35">
    <w:multiLevelType w:val="hybridMultilevel"/>
    <w:lvl w:ilvl="0">
      <w:start w:val="7"/>
      <w:numFmt w:val="decimal"/>
      <w:lvlText w:val="%1"/>
      <w:lvlJc w:val="left"/>
      <w:pPr>
        <w:ind w:left="116" w:hanging="540"/>
        <w:jc w:val="left"/>
      </w:pPr>
      <w:rPr>
        <w:rFonts w:hint="default"/>
      </w:rPr>
    </w:lvl>
    <w:lvl w:ilvl="1">
      <w:start w:val="6"/>
      <w:numFmt w:val="decimal"/>
      <w:lvlText w:val="%1.%2"/>
      <w:lvlJc w:val="left"/>
      <w:pPr>
        <w:ind w:left="116" w:hanging="540"/>
        <w:jc w:val="left"/>
      </w:pPr>
      <w:rPr>
        <w:rFonts w:hint="default"/>
      </w:rPr>
    </w:lvl>
    <w:lvl w:ilvl="2">
      <w:start w:val="1"/>
      <w:numFmt w:val="decimal"/>
      <w:lvlText w:val="%1.%2.%3"/>
      <w:lvlJc w:val="left"/>
      <w:pPr>
        <w:ind w:left="116" w:hanging="540"/>
        <w:jc w:val="left"/>
      </w:pPr>
      <w:rPr>
        <w:rFonts w:hint="default" w:ascii="Calibri" w:hAnsi="Calibri" w:eastAsia="Calibri" w:cs="Calibri"/>
        <w:spacing w:val="0"/>
        <w:w w:val="99"/>
        <w:sz w:val="20"/>
        <w:szCs w:val="20"/>
      </w:rPr>
    </w:lvl>
    <w:lvl w:ilvl="3">
      <w:start w:val="0"/>
      <w:numFmt w:val="bullet"/>
      <w:lvlText w:val="•"/>
      <w:lvlJc w:val="left"/>
      <w:pPr>
        <w:ind w:left="3115" w:hanging="540"/>
      </w:pPr>
      <w:rPr>
        <w:rFonts w:hint="default"/>
      </w:rPr>
    </w:lvl>
    <w:lvl w:ilvl="4">
      <w:start w:val="0"/>
      <w:numFmt w:val="bullet"/>
      <w:lvlText w:val="•"/>
      <w:lvlJc w:val="left"/>
      <w:pPr>
        <w:ind w:left="4114" w:hanging="540"/>
      </w:pPr>
      <w:rPr>
        <w:rFonts w:hint="default"/>
      </w:rPr>
    </w:lvl>
    <w:lvl w:ilvl="5">
      <w:start w:val="0"/>
      <w:numFmt w:val="bullet"/>
      <w:lvlText w:val="•"/>
      <w:lvlJc w:val="left"/>
      <w:pPr>
        <w:ind w:left="5113" w:hanging="540"/>
      </w:pPr>
      <w:rPr>
        <w:rFonts w:hint="default"/>
      </w:rPr>
    </w:lvl>
    <w:lvl w:ilvl="6">
      <w:start w:val="0"/>
      <w:numFmt w:val="bullet"/>
      <w:lvlText w:val="•"/>
      <w:lvlJc w:val="left"/>
      <w:pPr>
        <w:ind w:left="6111" w:hanging="540"/>
      </w:pPr>
      <w:rPr>
        <w:rFonts w:hint="default"/>
      </w:rPr>
    </w:lvl>
    <w:lvl w:ilvl="7">
      <w:start w:val="0"/>
      <w:numFmt w:val="bullet"/>
      <w:lvlText w:val="•"/>
      <w:lvlJc w:val="left"/>
      <w:pPr>
        <w:ind w:left="7110" w:hanging="540"/>
      </w:pPr>
      <w:rPr>
        <w:rFonts w:hint="default"/>
      </w:rPr>
    </w:lvl>
    <w:lvl w:ilvl="8">
      <w:start w:val="0"/>
      <w:numFmt w:val="bullet"/>
      <w:lvlText w:val="•"/>
      <w:lvlJc w:val="left"/>
      <w:pPr>
        <w:ind w:left="8108" w:hanging="540"/>
      </w:pPr>
      <w:rPr>
        <w:rFonts w:hint="default"/>
      </w:rPr>
    </w:lvl>
  </w:abstractNum>
  <w:abstractNum w:abstractNumId="34">
    <w:multiLevelType w:val="hybridMultilevel"/>
    <w:lvl w:ilvl="0">
      <w:start w:val="7"/>
      <w:numFmt w:val="decimal"/>
      <w:lvlText w:val="%1"/>
      <w:lvlJc w:val="left"/>
      <w:pPr>
        <w:ind w:left="1330" w:hanging="514"/>
        <w:jc w:val="left"/>
      </w:pPr>
      <w:rPr>
        <w:rFonts w:hint="default"/>
      </w:rPr>
    </w:lvl>
    <w:lvl w:ilvl="1">
      <w:start w:val="1"/>
      <w:numFmt w:val="decimal"/>
      <w:lvlText w:val="%1.%2"/>
      <w:lvlJc w:val="left"/>
      <w:pPr>
        <w:ind w:left="1330" w:hanging="514"/>
        <w:jc w:val="left"/>
      </w:pPr>
      <w:rPr>
        <w:rFonts w:hint="default" w:ascii="黑体" w:hAnsi="黑体" w:eastAsia="黑体" w:cs="黑体"/>
        <w:spacing w:val="-7"/>
        <w:w w:val="100"/>
        <w:sz w:val="28"/>
        <w:szCs w:val="28"/>
      </w:rPr>
    </w:lvl>
    <w:lvl w:ilvl="2">
      <w:start w:val="0"/>
      <w:numFmt w:val="bullet"/>
      <w:lvlText w:val="•"/>
      <w:lvlJc w:val="left"/>
      <w:pPr>
        <w:ind w:left="3093" w:hanging="514"/>
      </w:pPr>
      <w:rPr>
        <w:rFonts w:hint="default"/>
      </w:rPr>
    </w:lvl>
    <w:lvl w:ilvl="3">
      <w:start w:val="0"/>
      <w:numFmt w:val="bullet"/>
      <w:lvlText w:val="•"/>
      <w:lvlJc w:val="left"/>
      <w:pPr>
        <w:ind w:left="3969" w:hanging="514"/>
      </w:pPr>
      <w:rPr>
        <w:rFonts w:hint="default"/>
      </w:rPr>
    </w:lvl>
    <w:lvl w:ilvl="4">
      <w:start w:val="0"/>
      <w:numFmt w:val="bullet"/>
      <w:lvlText w:val="•"/>
      <w:lvlJc w:val="left"/>
      <w:pPr>
        <w:ind w:left="4846" w:hanging="514"/>
      </w:pPr>
      <w:rPr>
        <w:rFonts w:hint="default"/>
      </w:rPr>
    </w:lvl>
    <w:lvl w:ilvl="5">
      <w:start w:val="0"/>
      <w:numFmt w:val="bullet"/>
      <w:lvlText w:val="•"/>
      <w:lvlJc w:val="left"/>
      <w:pPr>
        <w:ind w:left="5723" w:hanging="514"/>
      </w:pPr>
      <w:rPr>
        <w:rFonts w:hint="default"/>
      </w:rPr>
    </w:lvl>
    <w:lvl w:ilvl="6">
      <w:start w:val="0"/>
      <w:numFmt w:val="bullet"/>
      <w:lvlText w:val="•"/>
      <w:lvlJc w:val="left"/>
      <w:pPr>
        <w:ind w:left="6599" w:hanging="514"/>
      </w:pPr>
      <w:rPr>
        <w:rFonts w:hint="default"/>
      </w:rPr>
    </w:lvl>
    <w:lvl w:ilvl="7">
      <w:start w:val="0"/>
      <w:numFmt w:val="bullet"/>
      <w:lvlText w:val="•"/>
      <w:lvlJc w:val="left"/>
      <w:pPr>
        <w:ind w:left="7476" w:hanging="514"/>
      </w:pPr>
      <w:rPr>
        <w:rFonts w:hint="default"/>
      </w:rPr>
    </w:lvl>
    <w:lvl w:ilvl="8">
      <w:start w:val="0"/>
      <w:numFmt w:val="bullet"/>
      <w:lvlText w:val="•"/>
      <w:lvlJc w:val="left"/>
      <w:pPr>
        <w:ind w:left="8352" w:hanging="514"/>
      </w:pPr>
      <w:rPr>
        <w:rFonts w:hint="default"/>
      </w:rPr>
    </w:lvl>
  </w:abstractNum>
  <w:abstractNum w:abstractNumId="33">
    <w:multiLevelType w:val="hybridMultilevel"/>
    <w:lvl w:ilvl="0">
      <w:start w:val="6"/>
      <w:numFmt w:val="decimal"/>
      <w:lvlText w:val="%1"/>
      <w:lvlJc w:val="left"/>
      <w:pPr>
        <w:ind w:left="116" w:hanging="509"/>
        <w:jc w:val="left"/>
      </w:pPr>
      <w:rPr>
        <w:rFonts w:hint="default"/>
      </w:rPr>
    </w:lvl>
    <w:lvl w:ilvl="1">
      <w:start w:val="3"/>
      <w:numFmt w:val="decimal"/>
      <w:lvlText w:val="%1.%2"/>
      <w:lvlJc w:val="left"/>
      <w:pPr>
        <w:ind w:left="116" w:hanging="509"/>
        <w:jc w:val="left"/>
      </w:pPr>
      <w:rPr>
        <w:rFonts w:hint="default"/>
      </w:rPr>
    </w:lvl>
    <w:lvl w:ilvl="2">
      <w:start w:val="1"/>
      <w:numFmt w:val="decimal"/>
      <w:lvlText w:val="%1.%2.%3"/>
      <w:lvlJc w:val="left"/>
      <w:pPr>
        <w:ind w:left="116" w:hanging="509"/>
        <w:jc w:val="left"/>
      </w:pPr>
      <w:rPr>
        <w:rFonts w:hint="default" w:ascii="Calibri" w:hAnsi="Calibri" w:eastAsia="Calibri" w:cs="Calibri"/>
        <w:spacing w:val="0"/>
        <w:w w:val="99"/>
        <w:sz w:val="20"/>
        <w:szCs w:val="20"/>
      </w:rPr>
    </w:lvl>
    <w:lvl w:ilvl="3">
      <w:start w:val="0"/>
      <w:numFmt w:val="bullet"/>
      <w:lvlText w:val="•"/>
      <w:lvlJc w:val="left"/>
      <w:pPr>
        <w:ind w:left="3115" w:hanging="509"/>
      </w:pPr>
      <w:rPr>
        <w:rFonts w:hint="default"/>
      </w:rPr>
    </w:lvl>
    <w:lvl w:ilvl="4">
      <w:start w:val="0"/>
      <w:numFmt w:val="bullet"/>
      <w:lvlText w:val="•"/>
      <w:lvlJc w:val="left"/>
      <w:pPr>
        <w:ind w:left="4114" w:hanging="509"/>
      </w:pPr>
      <w:rPr>
        <w:rFonts w:hint="default"/>
      </w:rPr>
    </w:lvl>
    <w:lvl w:ilvl="5">
      <w:start w:val="0"/>
      <w:numFmt w:val="bullet"/>
      <w:lvlText w:val="•"/>
      <w:lvlJc w:val="left"/>
      <w:pPr>
        <w:ind w:left="5113" w:hanging="509"/>
      </w:pPr>
      <w:rPr>
        <w:rFonts w:hint="default"/>
      </w:rPr>
    </w:lvl>
    <w:lvl w:ilvl="6">
      <w:start w:val="0"/>
      <w:numFmt w:val="bullet"/>
      <w:lvlText w:val="•"/>
      <w:lvlJc w:val="left"/>
      <w:pPr>
        <w:ind w:left="6111" w:hanging="509"/>
      </w:pPr>
      <w:rPr>
        <w:rFonts w:hint="default"/>
      </w:rPr>
    </w:lvl>
    <w:lvl w:ilvl="7">
      <w:start w:val="0"/>
      <w:numFmt w:val="bullet"/>
      <w:lvlText w:val="•"/>
      <w:lvlJc w:val="left"/>
      <w:pPr>
        <w:ind w:left="7110" w:hanging="509"/>
      </w:pPr>
      <w:rPr>
        <w:rFonts w:hint="default"/>
      </w:rPr>
    </w:lvl>
    <w:lvl w:ilvl="8">
      <w:start w:val="0"/>
      <w:numFmt w:val="bullet"/>
      <w:lvlText w:val="•"/>
      <w:lvlJc w:val="left"/>
      <w:pPr>
        <w:ind w:left="8108" w:hanging="509"/>
      </w:pPr>
      <w:rPr>
        <w:rFonts w:hint="default"/>
      </w:rPr>
    </w:lvl>
  </w:abstractNum>
  <w:abstractNum w:abstractNumId="32">
    <w:multiLevelType w:val="hybridMultilevel"/>
    <w:lvl w:ilvl="0">
      <w:start w:val="6"/>
      <w:numFmt w:val="decimal"/>
      <w:lvlText w:val="%1"/>
      <w:lvlJc w:val="left"/>
      <w:pPr>
        <w:ind w:left="1308" w:hanging="495"/>
        <w:jc w:val="left"/>
      </w:pPr>
      <w:rPr>
        <w:rFonts w:hint="default"/>
      </w:rPr>
    </w:lvl>
    <w:lvl w:ilvl="1">
      <w:start w:val="2"/>
      <w:numFmt w:val="decimal"/>
      <w:lvlText w:val="%1.%2"/>
      <w:lvlJc w:val="left"/>
      <w:pPr>
        <w:ind w:left="1308" w:hanging="495"/>
        <w:jc w:val="left"/>
      </w:pPr>
      <w:rPr>
        <w:rFonts w:hint="default" w:ascii="黑体" w:hAnsi="黑体" w:eastAsia="黑体" w:cs="黑体"/>
        <w:spacing w:val="-2"/>
        <w:w w:val="100"/>
        <w:sz w:val="28"/>
        <w:szCs w:val="28"/>
      </w:rPr>
    </w:lvl>
    <w:lvl w:ilvl="2">
      <w:start w:val="0"/>
      <w:numFmt w:val="bullet"/>
      <w:lvlText w:val="•"/>
      <w:lvlJc w:val="left"/>
      <w:pPr>
        <w:ind w:left="3061" w:hanging="495"/>
      </w:pPr>
      <w:rPr>
        <w:rFonts w:hint="default"/>
      </w:rPr>
    </w:lvl>
    <w:lvl w:ilvl="3">
      <w:start w:val="0"/>
      <w:numFmt w:val="bullet"/>
      <w:lvlText w:val="•"/>
      <w:lvlJc w:val="left"/>
      <w:pPr>
        <w:ind w:left="3941" w:hanging="495"/>
      </w:pPr>
      <w:rPr>
        <w:rFonts w:hint="default"/>
      </w:rPr>
    </w:lvl>
    <w:lvl w:ilvl="4">
      <w:start w:val="0"/>
      <w:numFmt w:val="bullet"/>
      <w:lvlText w:val="•"/>
      <w:lvlJc w:val="left"/>
      <w:pPr>
        <w:ind w:left="4822" w:hanging="495"/>
      </w:pPr>
      <w:rPr>
        <w:rFonts w:hint="default"/>
      </w:rPr>
    </w:lvl>
    <w:lvl w:ilvl="5">
      <w:start w:val="0"/>
      <w:numFmt w:val="bullet"/>
      <w:lvlText w:val="•"/>
      <w:lvlJc w:val="left"/>
      <w:pPr>
        <w:ind w:left="5703" w:hanging="495"/>
      </w:pPr>
      <w:rPr>
        <w:rFonts w:hint="default"/>
      </w:rPr>
    </w:lvl>
    <w:lvl w:ilvl="6">
      <w:start w:val="0"/>
      <w:numFmt w:val="bullet"/>
      <w:lvlText w:val="•"/>
      <w:lvlJc w:val="left"/>
      <w:pPr>
        <w:ind w:left="6583" w:hanging="495"/>
      </w:pPr>
      <w:rPr>
        <w:rFonts w:hint="default"/>
      </w:rPr>
    </w:lvl>
    <w:lvl w:ilvl="7">
      <w:start w:val="0"/>
      <w:numFmt w:val="bullet"/>
      <w:lvlText w:val="•"/>
      <w:lvlJc w:val="left"/>
      <w:pPr>
        <w:ind w:left="7464" w:hanging="495"/>
      </w:pPr>
      <w:rPr>
        <w:rFonts w:hint="default"/>
      </w:rPr>
    </w:lvl>
    <w:lvl w:ilvl="8">
      <w:start w:val="0"/>
      <w:numFmt w:val="bullet"/>
      <w:lvlText w:val="•"/>
      <w:lvlJc w:val="left"/>
      <w:pPr>
        <w:ind w:left="8344" w:hanging="495"/>
      </w:pPr>
      <w:rPr>
        <w:rFonts w:hint="default"/>
      </w:rPr>
    </w:lvl>
  </w:abstractNum>
  <w:abstractNum w:abstractNumId="31">
    <w:multiLevelType w:val="hybridMultilevel"/>
    <w:lvl w:ilvl="0">
      <w:start w:val="6"/>
      <w:numFmt w:val="decimal"/>
      <w:lvlText w:val="%1"/>
      <w:lvlJc w:val="left"/>
      <w:pPr>
        <w:ind w:left="1056" w:hanging="516"/>
        <w:jc w:val="left"/>
      </w:pPr>
      <w:rPr>
        <w:rFonts w:hint="default"/>
      </w:rPr>
    </w:lvl>
    <w:lvl w:ilvl="1">
      <w:start w:val="1"/>
      <w:numFmt w:val="decimal"/>
      <w:lvlText w:val="%1.%2"/>
      <w:lvlJc w:val="left"/>
      <w:pPr>
        <w:ind w:left="1056" w:hanging="516"/>
        <w:jc w:val="left"/>
      </w:pPr>
      <w:rPr>
        <w:rFonts w:hint="default"/>
      </w:rPr>
    </w:lvl>
    <w:lvl w:ilvl="2">
      <w:start w:val="2"/>
      <w:numFmt w:val="decimal"/>
      <w:lvlText w:val="%1.%2.%3"/>
      <w:lvlJc w:val="left"/>
      <w:pPr>
        <w:ind w:left="1056" w:hanging="516"/>
        <w:jc w:val="left"/>
      </w:pPr>
      <w:rPr>
        <w:rFonts w:hint="default" w:ascii="Calibri" w:hAnsi="Calibri" w:eastAsia="Calibri" w:cs="Calibri"/>
        <w:spacing w:val="0"/>
        <w:w w:val="99"/>
        <w:sz w:val="20"/>
        <w:szCs w:val="20"/>
      </w:rPr>
    </w:lvl>
    <w:lvl w:ilvl="3">
      <w:start w:val="0"/>
      <w:numFmt w:val="bullet"/>
      <w:lvlText w:val="•"/>
      <w:lvlJc w:val="left"/>
      <w:pPr>
        <w:ind w:left="3773" w:hanging="516"/>
      </w:pPr>
      <w:rPr>
        <w:rFonts w:hint="default"/>
      </w:rPr>
    </w:lvl>
    <w:lvl w:ilvl="4">
      <w:start w:val="0"/>
      <w:numFmt w:val="bullet"/>
      <w:lvlText w:val="•"/>
      <w:lvlJc w:val="left"/>
      <w:pPr>
        <w:ind w:left="4678" w:hanging="516"/>
      </w:pPr>
      <w:rPr>
        <w:rFonts w:hint="default"/>
      </w:rPr>
    </w:lvl>
    <w:lvl w:ilvl="5">
      <w:start w:val="0"/>
      <w:numFmt w:val="bullet"/>
      <w:lvlText w:val="•"/>
      <w:lvlJc w:val="left"/>
      <w:pPr>
        <w:ind w:left="5583" w:hanging="516"/>
      </w:pPr>
      <w:rPr>
        <w:rFonts w:hint="default"/>
      </w:rPr>
    </w:lvl>
    <w:lvl w:ilvl="6">
      <w:start w:val="0"/>
      <w:numFmt w:val="bullet"/>
      <w:lvlText w:val="•"/>
      <w:lvlJc w:val="left"/>
      <w:pPr>
        <w:ind w:left="6487" w:hanging="516"/>
      </w:pPr>
      <w:rPr>
        <w:rFonts w:hint="default"/>
      </w:rPr>
    </w:lvl>
    <w:lvl w:ilvl="7">
      <w:start w:val="0"/>
      <w:numFmt w:val="bullet"/>
      <w:lvlText w:val="•"/>
      <w:lvlJc w:val="left"/>
      <w:pPr>
        <w:ind w:left="7392" w:hanging="516"/>
      </w:pPr>
      <w:rPr>
        <w:rFonts w:hint="default"/>
      </w:rPr>
    </w:lvl>
    <w:lvl w:ilvl="8">
      <w:start w:val="0"/>
      <w:numFmt w:val="bullet"/>
      <w:lvlText w:val="•"/>
      <w:lvlJc w:val="left"/>
      <w:pPr>
        <w:ind w:left="8296" w:hanging="516"/>
      </w:pPr>
      <w:rPr>
        <w:rFonts w:hint="default"/>
      </w:rPr>
    </w:lvl>
  </w:abstractNum>
  <w:abstractNum w:abstractNumId="30">
    <w:multiLevelType w:val="hybridMultilevel"/>
    <w:lvl w:ilvl="0">
      <w:start w:val="5"/>
      <w:numFmt w:val="decimal"/>
      <w:lvlText w:val="%1"/>
      <w:lvlJc w:val="left"/>
      <w:pPr>
        <w:ind w:left="1308" w:hanging="502"/>
        <w:jc w:val="left"/>
      </w:pPr>
      <w:rPr>
        <w:rFonts w:hint="default"/>
      </w:rPr>
    </w:lvl>
    <w:lvl w:ilvl="1">
      <w:start w:val="1"/>
      <w:numFmt w:val="decimal"/>
      <w:lvlText w:val="%1.%2"/>
      <w:lvlJc w:val="left"/>
      <w:pPr>
        <w:ind w:left="1308" w:hanging="502"/>
        <w:jc w:val="left"/>
      </w:pPr>
      <w:rPr>
        <w:rFonts w:hint="default" w:ascii="黑体" w:hAnsi="黑体" w:eastAsia="黑体" w:cs="黑体"/>
        <w:spacing w:val="-2"/>
        <w:w w:val="100"/>
        <w:sz w:val="28"/>
        <w:szCs w:val="28"/>
      </w:rPr>
    </w:lvl>
    <w:lvl w:ilvl="2">
      <w:start w:val="0"/>
      <w:numFmt w:val="bullet"/>
      <w:lvlText w:val="•"/>
      <w:lvlJc w:val="left"/>
      <w:pPr>
        <w:ind w:left="3061" w:hanging="502"/>
      </w:pPr>
      <w:rPr>
        <w:rFonts w:hint="default"/>
      </w:rPr>
    </w:lvl>
    <w:lvl w:ilvl="3">
      <w:start w:val="0"/>
      <w:numFmt w:val="bullet"/>
      <w:lvlText w:val="•"/>
      <w:lvlJc w:val="left"/>
      <w:pPr>
        <w:ind w:left="3941" w:hanging="502"/>
      </w:pPr>
      <w:rPr>
        <w:rFonts w:hint="default"/>
      </w:rPr>
    </w:lvl>
    <w:lvl w:ilvl="4">
      <w:start w:val="0"/>
      <w:numFmt w:val="bullet"/>
      <w:lvlText w:val="•"/>
      <w:lvlJc w:val="left"/>
      <w:pPr>
        <w:ind w:left="4822" w:hanging="502"/>
      </w:pPr>
      <w:rPr>
        <w:rFonts w:hint="default"/>
      </w:rPr>
    </w:lvl>
    <w:lvl w:ilvl="5">
      <w:start w:val="0"/>
      <w:numFmt w:val="bullet"/>
      <w:lvlText w:val="•"/>
      <w:lvlJc w:val="left"/>
      <w:pPr>
        <w:ind w:left="5703" w:hanging="502"/>
      </w:pPr>
      <w:rPr>
        <w:rFonts w:hint="default"/>
      </w:rPr>
    </w:lvl>
    <w:lvl w:ilvl="6">
      <w:start w:val="0"/>
      <w:numFmt w:val="bullet"/>
      <w:lvlText w:val="•"/>
      <w:lvlJc w:val="left"/>
      <w:pPr>
        <w:ind w:left="6583" w:hanging="502"/>
      </w:pPr>
      <w:rPr>
        <w:rFonts w:hint="default"/>
      </w:rPr>
    </w:lvl>
    <w:lvl w:ilvl="7">
      <w:start w:val="0"/>
      <w:numFmt w:val="bullet"/>
      <w:lvlText w:val="•"/>
      <w:lvlJc w:val="left"/>
      <w:pPr>
        <w:ind w:left="7464" w:hanging="502"/>
      </w:pPr>
      <w:rPr>
        <w:rFonts w:hint="default"/>
      </w:rPr>
    </w:lvl>
    <w:lvl w:ilvl="8">
      <w:start w:val="0"/>
      <w:numFmt w:val="bullet"/>
      <w:lvlText w:val="•"/>
      <w:lvlJc w:val="left"/>
      <w:pPr>
        <w:ind w:left="8344" w:hanging="502"/>
      </w:pPr>
      <w:rPr>
        <w:rFonts w:hint="default"/>
      </w:rPr>
    </w:lvl>
  </w:abstractNum>
  <w:abstractNum w:abstractNumId="29">
    <w:multiLevelType w:val="hybridMultilevel"/>
    <w:lvl w:ilvl="0">
      <w:start w:val="4"/>
      <w:numFmt w:val="decimal"/>
      <w:lvlText w:val="%1"/>
      <w:lvlJc w:val="left"/>
      <w:pPr>
        <w:ind w:left="140" w:hanging="524"/>
        <w:jc w:val="left"/>
      </w:pPr>
      <w:rPr>
        <w:rFonts w:hint="default"/>
      </w:rPr>
    </w:lvl>
    <w:lvl w:ilvl="1">
      <w:start w:val="3"/>
      <w:numFmt w:val="decimal"/>
      <w:lvlText w:val="%1.%2"/>
      <w:lvlJc w:val="left"/>
      <w:pPr>
        <w:ind w:left="140" w:hanging="524"/>
        <w:jc w:val="left"/>
      </w:pPr>
      <w:rPr>
        <w:rFonts w:hint="default"/>
      </w:rPr>
    </w:lvl>
    <w:lvl w:ilvl="2">
      <w:start w:val="1"/>
      <w:numFmt w:val="decimal"/>
      <w:lvlText w:val="%1.%2.%3"/>
      <w:lvlJc w:val="left"/>
      <w:pPr>
        <w:ind w:left="140" w:hanging="524"/>
        <w:jc w:val="left"/>
      </w:pPr>
      <w:rPr>
        <w:rFonts w:hint="default" w:ascii="Calibri" w:hAnsi="Calibri" w:eastAsia="Calibri" w:cs="Calibri"/>
        <w:spacing w:val="0"/>
        <w:w w:val="99"/>
        <w:sz w:val="20"/>
        <w:szCs w:val="20"/>
      </w:rPr>
    </w:lvl>
    <w:lvl w:ilvl="3">
      <w:start w:val="0"/>
      <w:numFmt w:val="bullet"/>
      <w:lvlText w:val="•"/>
      <w:lvlJc w:val="left"/>
      <w:pPr>
        <w:ind w:left="3129" w:hanging="524"/>
      </w:pPr>
      <w:rPr>
        <w:rFonts w:hint="default"/>
      </w:rPr>
    </w:lvl>
    <w:lvl w:ilvl="4">
      <w:start w:val="0"/>
      <w:numFmt w:val="bullet"/>
      <w:lvlText w:val="•"/>
      <w:lvlJc w:val="left"/>
      <w:pPr>
        <w:ind w:left="4126" w:hanging="524"/>
      </w:pPr>
      <w:rPr>
        <w:rFonts w:hint="default"/>
      </w:rPr>
    </w:lvl>
    <w:lvl w:ilvl="5">
      <w:start w:val="0"/>
      <w:numFmt w:val="bullet"/>
      <w:lvlText w:val="•"/>
      <w:lvlJc w:val="left"/>
      <w:pPr>
        <w:ind w:left="5123" w:hanging="524"/>
      </w:pPr>
      <w:rPr>
        <w:rFonts w:hint="default"/>
      </w:rPr>
    </w:lvl>
    <w:lvl w:ilvl="6">
      <w:start w:val="0"/>
      <w:numFmt w:val="bullet"/>
      <w:lvlText w:val="•"/>
      <w:lvlJc w:val="left"/>
      <w:pPr>
        <w:ind w:left="6119" w:hanging="524"/>
      </w:pPr>
      <w:rPr>
        <w:rFonts w:hint="default"/>
      </w:rPr>
    </w:lvl>
    <w:lvl w:ilvl="7">
      <w:start w:val="0"/>
      <w:numFmt w:val="bullet"/>
      <w:lvlText w:val="•"/>
      <w:lvlJc w:val="left"/>
      <w:pPr>
        <w:ind w:left="7116" w:hanging="524"/>
      </w:pPr>
      <w:rPr>
        <w:rFonts w:hint="default"/>
      </w:rPr>
    </w:lvl>
    <w:lvl w:ilvl="8">
      <w:start w:val="0"/>
      <w:numFmt w:val="bullet"/>
      <w:lvlText w:val="•"/>
      <w:lvlJc w:val="left"/>
      <w:pPr>
        <w:ind w:left="8112" w:hanging="524"/>
      </w:pPr>
      <w:rPr>
        <w:rFonts w:hint="default"/>
      </w:rPr>
    </w:lvl>
  </w:abstractNum>
  <w:abstractNum w:abstractNumId="28">
    <w:multiLevelType w:val="hybridMultilevel"/>
    <w:lvl w:ilvl="0">
      <w:start w:val="4"/>
      <w:numFmt w:val="decimal"/>
      <w:lvlText w:val="%1"/>
      <w:lvlJc w:val="left"/>
      <w:pPr>
        <w:ind w:left="1054" w:hanging="521"/>
        <w:jc w:val="left"/>
      </w:pPr>
      <w:rPr>
        <w:rFonts w:hint="default"/>
      </w:rPr>
    </w:lvl>
    <w:lvl w:ilvl="1">
      <w:start w:val="2"/>
      <w:numFmt w:val="decimal"/>
      <w:lvlText w:val="%1.%2"/>
      <w:lvlJc w:val="left"/>
      <w:pPr>
        <w:ind w:left="1054" w:hanging="521"/>
        <w:jc w:val="left"/>
      </w:pPr>
      <w:rPr>
        <w:rFonts w:hint="default"/>
      </w:rPr>
    </w:lvl>
    <w:lvl w:ilvl="2">
      <w:start w:val="1"/>
      <w:numFmt w:val="decimal"/>
      <w:lvlText w:val="%1.%2.%3"/>
      <w:lvlJc w:val="left"/>
      <w:pPr>
        <w:ind w:left="116" w:hanging="521"/>
        <w:jc w:val="left"/>
      </w:pPr>
      <w:rPr>
        <w:rFonts w:hint="default" w:ascii="Calibri" w:hAnsi="Calibri" w:eastAsia="Calibri" w:cs="Calibri"/>
        <w:spacing w:val="0"/>
        <w:w w:val="99"/>
        <w:sz w:val="20"/>
        <w:szCs w:val="20"/>
      </w:rPr>
    </w:lvl>
    <w:lvl w:ilvl="3">
      <w:start w:val="0"/>
      <w:numFmt w:val="bullet"/>
      <w:lvlText w:val="•"/>
      <w:lvlJc w:val="left"/>
      <w:pPr>
        <w:ind w:left="3070" w:hanging="521"/>
      </w:pPr>
      <w:rPr>
        <w:rFonts w:hint="default"/>
      </w:rPr>
    </w:lvl>
    <w:lvl w:ilvl="4">
      <w:start w:val="0"/>
      <w:numFmt w:val="bullet"/>
      <w:lvlText w:val="•"/>
      <w:lvlJc w:val="left"/>
      <w:pPr>
        <w:ind w:left="4075" w:hanging="521"/>
      </w:pPr>
      <w:rPr>
        <w:rFonts w:hint="default"/>
      </w:rPr>
    </w:lvl>
    <w:lvl w:ilvl="5">
      <w:start w:val="0"/>
      <w:numFmt w:val="bullet"/>
      <w:lvlText w:val="•"/>
      <w:lvlJc w:val="left"/>
      <w:pPr>
        <w:ind w:left="5080" w:hanging="521"/>
      </w:pPr>
      <w:rPr>
        <w:rFonts w:hint="default"/>
      </w:rPr>
    </w:lvl>
    <w:lvl w:ilvl="6">
      <w:start w:val="0"/>
      <w:numFmt w:val="bullet"/>
      <w:lvlText w:val="•"/>
      <w:lvlJc w:val="left"/>
      <w:pPr>
        <w:ind w:left="6085" w:hanging="521"/>
      </w:pPr>
      <w:rPr>
        <w:rFonts w:hint="default"/>
      </w:rPr>
    </w:lvl>
    <w:lvl w:ilvl="7">
      <w:start w:val="0"/>
      <w:numFmt w:val="bullet"/>
      <w:lvlText w:val="•"/>
      <w:lvlJc w:val="left"/>
      <w:pPr>
        <w:ind w:left="7090" w:hanging="521"/>
      </w:pPr>
      <w:rPr>
        <w:rFonts w:hint="default"/>
      </w:rPr>
    </w:lvl>
    <w:lvl w:ilvl="8">
      <w:start w:val="0"/>
      <w:numFmt w:val="bullet"/>
      <w:lvlText w:val="•"/>
      <w:lvlJc w:val="left"/>
      <w:pPr>
        <w:ind w:left="8095" w:hanging="521"/>
      </w:pPr>
      <w:rPr>
        <w:rFonts w:hint="default"/>
      </w:rPr>
    </w:lvl>
  </w:abstractNum>
  <w:abstractNum w:abstractNumId="27">
    <w:multiLevelType w:val="hybridMultilevel"/>
    <w:lvl w:ilvl="0">
      <w:start w:val="4"/>
      <w:numFmt w:val="decimal"/>
      <w:lvlText w:val="%1"/>
      <w:lvlJc w:val="left"/>
      <w:pPr>
        <w:ind w:left="120" w:hanging="519"/>
        <w:jc w:val="left"/>
      </w:pPr>
      <w:rPr>
        <w:rFonts w:hint="default"/>
      </w:rPr>
    </w:lvl>
    <w:lvl w:ilvl="1">
      <w:start w:val="1"/>
      <w:numFmt w:val="decimal"/>
      <w:lvlText w:val="%1.%2"/>
      <w:lvlJc w:val="left"/>
      <w:pPr>
        <w:ind w:left="120" w:hanging="519"/>
        <w:jc w:val="left"/>
      </w:pPr>
      <w:rPr>
        <w:rFonts w:hint="default"/>
      </w:rPr>
    </w:lvl>
    <w:lvl w:ilvl="2">
      <w:start w:val="1"/>
      <w:numFmt w:val="decimal"/>
      <w:lvlText w:val="%1.%2.%3"/>
      <w:lvlJc w:val="left"/>
      <w:pPr>
        <w:ind w:left="120" w:hanging="519"/>
        <w:jc w:val="left"/>
      </w:pPr>
      <w:rPr>
        <w:rFonts w:hint="default" w:ascii="Calibri" w:hAnsi="Calibri" w:eastAsia="Calibri" w:cs="Calibri"/>
        <w:spacing w:val="0"/>
        <w:w w:val="99"/>
        <w:sz w:val="20"/>
        <w:szCs w:val="20"/>
      </w:rPr>
    </w:lvl>
    <w:lvl w:ilvl="3">
      <w:start w:val="0"/>
      <w:numFmt w:val="bullet"/>
      <w:lvlText w:val="•"/>
      <w:lvlJc w:val="left"/>
      <w:pPr>
        <w:ind w:left="3115" w:hanging="519"/>
      </w:pPr>
      <w:rPr>
        <w:rFonts w:hint="default"/>
      </w:rPr>
    </w:lvl>
    <w:lvl w:ilvl="4">
      <w:start w:val="0"/>
      <w:numFmt w:val="bullet"/>
      <w:lvlText w:val="•"/>
      <w:lvlJc w:val="left"/>
      <w:pPr>
        <w:ind w:left="4114" w:hanging="519"/>
      </w:pPr>
      <w:rPr>
        <w:rFonts w:hint="default"/>
      </w:rPr>
    </w:lvl>
    <w:lvl w:ilvl="5">
      <w:start w:val="0"/>
      <w:numFmt w:val="bullet"/>
      <w:lvlText w:val="•"/>
      <w:lvlJc w:val="left"/>
      <w:pPr>
        <w:ind w:left="5113" w:hanging="519"/>
      </w:pPr>
      <w:rPr>
        <w:rFonts w:hint="default"/>
      </w:rPr>
    </w:lvl>
    <w:lvl w:ilvl="6">
      <w:start w:val="0"/>
      <w:numFmt w:val="bullet"/>
      <w:lvlText w:val="•"/>
      <w:lvlJc w:val="left"/>
      <w:pPr>
        <w:ind w:left="6111" w:hanging="519"/>
      </w:pPr>
      <w:rPr>
        <w:rFonts w:hint="default"/>
      </w:rPr>
    </w:lvl>
    <w:lvl w:ilvl="7">
      <w:start w:val="0"/>
      <w:numFmt w:val="bullet"/>
      <w:lvlText w:val="•"/>
      <w:lvlJc w:val="left"/>
      <w:pPr>
        <w:ind w:left="7110" w:hanging="519"/>
      </w:pPr>
      <w:rPr>
        <w:rFonts w:hint="default"/>
      </w:rPr>
    </w:lvl>
    <w:lvl w:ilvl="8">
      <w:start w:val="0"/>
      <w:numFmt w:val="bullet"/>
      <w:lvlText w:val="•"/>
      <w:lvlJc w:val="left"/>
      <w:pPr>
        <w:ind w:left="8108" w:hanging="519"/>
      </w:pPr>
      <w:rPr>
        <w:rFonts w:hint="default"/>
      </w:rPr>
    </w:lvl>
  </w:abstractNum>
  <w:abstractNum w:abstractNumId="26">
    <w:multiLevelType w:val="hybridMultilevel"/>
    <w:lvl w:ilvl="0">
      <w:start w:val="3"/>
      <w:numFmt w:val="decimal"/>
      <w:lvlText w:val="%1"/>
      <w:lvlJc w:val="left"/>
      <w:pPr>
        <w:ind w:left="118" w:hanging="536"/>
        <w:jc w:val="left"/>
      </w:pPr>
      <w:rPr>
        <w:rFonts w:hint="default"/>
      </w:rPr>
    </w:lvl>
    <w:lvl w:ilvl="1">
      <w:start w:val="7"/>
      <w:numFmt w:val="decimal"/>
      <w:lvlText w:val="%1.%2"/>
      <w:lvlJc w:val="left"/>
      <w:pPr>
        <w:ind w:left="118" w:hanging="536"/>
        <w:jc w:val="left"/>
      </w:pPr>
      <w:rPr>
        <w:rFonts w:hint="default"/>
      </w:rPr>
    </w:lvl>
    <w:lvl w:ilvl="2">
      <w:start w:val="1"/>
      <w:numFmt w:val="decimal"/>
      <w:lvlText w:val="%1.%2.%3"/>
      <w:lvlJc w:val="left"/>
      <w:pPr>
        <w:ind w:left="118" w:hanging="536"/>
        <w:jc w:val="left"/>
      </w:pPr>
      <w:rPr>
        <w:rFonts w:hint="default" w:ascii="Calibri" w:hAnsi="Calibri" w:eastAsia="Calibri" w:cs="Calibri"/>
        <w:spacing w:val="0"/>
        <w:w w:val="99"/>
        <w:sz w:val="20"/>
        <w:szCs w:val="20"/>
      </w:rPr>
    </w:lvl>
    <w:lvl w:ilvl="3">
      <w:start w:val="0"/>
      <w:numFmt w:val="bullet"/>
      <w:lvlText w:val="•"/>
      <w:lvlJc w:val="left"/>
      <w:pPr>
        <w:ind w:left="3115" w:hanging="536"/>
      </w:pPr>
      <w:rPr>
        <w:rFonts w:hint="default"/>
      </w:rPr>
    </w:lvl>
    <w:lvl w:ilvl="4">
      <w:start w:val="0"/>
      <w:numFmt w:val="bullet"/>
      <w:lvlText w:val="•"/>
      <w:lvlJc w:val="left"/>
      <w:pPr>
        <w:ind w:left="4114" w:hanging="536"/>
      </w:pPr>
      <w:rPr>
        <w:rFonts w:hint="default"/>
      </w:rPr>
    </w:lvl>
    <w:lvl w:ilvl="5">
      <w:start w:val="0"/>
      <w:numFmt w:val="bullet"/>
      <w:lvlText w:val="•"/>
      <w:lvlJc w:val="left"/>
      <w:pPr>
        <w:ind w:left="5113" w:hanging="536"/>
      </w:pPr>
      <w:rPr>
        <w:rFonts w:hint="default"/>
      </w:rPr>
    </w:lvl>
    <w:lvl w:ilvl="6">
      <w:start w:val="0"/>
      <w:numFmt w:val="bullet"/>
      <w:lvlText w:val="•"/>
      <w:lvlJc w:val="left"/>
      <w:pPr>
        <w:ind w:left="6111" w:hanging="536"/>
      </w:pPr>
      <w:rPr>
        <w:rFonts w:hint="default"/>
      </w:rPr>
    </w:lvl>
    <w:lvl w:ilvl="7">
      <w:start w:val="0"/>
      <w:numFmt w:val="bullet"/>
      <w:lvlText w:val="•"/>
      <w:lvlJc w:val="left"/>
      <w:pPr>
        <w:ind w:left="7110" w:hanging="536"/>
      </w:pPr>
      <w:rPr>
        <w:rFonts w:hint="default"/>
      </w:rPr>
    </w:lvl>
    <w:lvl w:ilvl="8">
      <w:start w:val="0"/>
      <w:numFmt w:val="bullet"/>
      <w:lvlText w:val="•"/>
      <w:lvlJc w:val="left"/>
      <w:pPr>
        <w:ind w:left="8108" w:hanging="536"/>
      </w:pPr>
      <w:rPr>
        <w:rFonts w:hint="default"/>
      </w:rPr>
    </w:lvl>
  </w:abstractNum>
  <w:abstractNum w:abstractNumId="25">
    <w:multiLevelType w:val="hybridMultilevel"/>
    <w:lvl w:ilvl="0">
      <w:start w:val="3"/>
      <w:numFmt w:val="decimal"/>
      <w:lvlText w:val="%1"/>
      <w:lvlJc w:val="left"/>
      <w:pPr>
        <w:ind w:left="118" w:hanging="533"/>
        <w:jc w:val="left"/>
      </w:pPr>
      <w:rPr>
        <w:rFonts w:hint="default"/>
      </w:rPr>
    </w:lvl>
    <w:lvl w:ilvl="1">
      <w:start w:val="6"/>
      <w:numFmt w:val="decimal"/>
      <w:lvlText w:val="%1.%2"/>
      <w:lvlJc w:val="left"/>
      <w:pPr>
        <w:ind w:left="118" w:hanging="533"/>
        <w:jc w:val="left"/>
      </w:pPr>
      <w:rPr>
        <w:rFonts w:hint="default"/>
      </w:rPr>
    </w:lvl>
    <w:lvl w:ilvl="2">
      <w:start w:val="1"/>
      <w:numFmt w:val="decimal"/>
      <w:lvlText w:val="%1.%2.%3"/>
      <w:lvlJc w:val="left"/>
      <w:pPr>
        <w:ind w:left="118" w:hanging="533"/>
        <w:jc w:val="left"/>
      </w:pPr>
      <w:rPr>
        <w:rFonts w:hint="default" w:ascii="Calibri" w:hAnsi="Calibri" w:eastAsia="Calibri" w:cs="Calibri"/>
        <w:spacing w:val="0"/>
        <w:w w:val="99"/>
        <w:sz w:val="20"/>
        <w:szCs w:val="20"/>
      </w:rPr>
    </w:lvl>
    <w:lvl w:ilvl="3">
      <w:start w:val="0"/>
      <w:numFmt w:val="bullet"/>
      <w:lvlText w:val="•"/>
      <w:lvlJc w:val="left"/>
      <w:pPr>
        <w:ind w:left="3115" w:hanging="533"/>
      </w:pPr>
      <w:rPr>
        <w:rFonts w:hint="default"/>
      </w:rPr>
    </w:lvl>
    <w:lvl w:ilvl="4">
      <w:start w:val="0"/>
      <w:numFmt w:val="bullet"/>
      <w:lvlText w:val="•"/>
      <w:lvlJc w:val="left"/>
      <w:pPr>
        <w:ind w:left="4114" w:hanging="533"/>
      </w:pPr>
      <w:rPr>
        <w:rFonts w:hint="default"/>
      </w:rPr>
    </w:lvl>
    <w:lvl w:ilvl="5">
      <w:start w:val="0"/>
      <w:numFmt w:val="bullet"/>
      <w:lvlText w:val="•"/>
      <w:lvlJc w:val="left"/>
      <w:pPr>
        <w:ind w:left="5113" w:hanging="533"/>
      </w:pPr>
      <w:rPr>
        <w:rFonts w:hint="default"/>
      </w:rPr>
    </w:lvl>
    <w:lvl w:ilvl="6">
      <w:start w:val="0"/>
      <w:numFmt w:val="bullet"/>
      <w:lvlText w:val="•"/>
      <w:lvlJc w:val="left"/>
      <w:pPr>
        <w:ind w:left="6111" w:hanging="533"/>
      </w:pPr>
      <w:rPr>
        <w:rFonts w:hint="default"/>
      </w:rPr>
    </w:lvl>
    <w:lvl w:ilvl="7">
      <w:start w:val="0"/>
      <w:numFmt w:val="bullet"/>
      <w:lvlText w:val="•"/>
      <w:lvlJc w:val="left"/>
      <w:pPr>
        <w:ind w:left="7110" w:hanging="533"/>
      </w:pPr>
      <w:rPr>
        <w:rFonts w:hint="default"/>
      </w:rPr>
    </w:lvl>
    <w:lvl w:ilvl="8">
      <w:start w:val="0"/>
      <w:numFmt w:val="bullet"/>
      <w:lvlText w:val="•"/>
      <w:lvlJc w:val="left"/>
      <w:pPr>
        <w:ind w:left="8108" w:hanging="533"/>
      </w:pPr>
      <w:rPr>
        <w:rFonts w:hint="default"/>
      </w:rPr>
    </w:lvl>
  </w:abstractNum>
  <w:abstractNum w:abstractNumId="24">
    <w:multiLevelType w:val="hybridMultilevel"/>
    <w:lvl w:ilvl="0">
      <w:start w:val="3"/>
      <w:numFmt w:val="decimal"/>
      <w:lvlText w:val="%1"/>
      <w:lvlJc w:val="left"/>
      <w:pPr>
        <w:ind w:left="118" w:hanging="509"/>
        <w:jc w:val="left"/>
      </w:pPr>
      <w:rPr>
        <w:rFonts w:hint="default"/>
      </w:rPr>
    </w:lvl>
    <w:lvl w:ilvl="1">
      <w:start w:val="5"/>
      <w:numFmt w:val="decimal"/>
      <w:lvlText w:val="%1.%2"/>
      <w:lvlJc w:val="left"/>
      <w:pPr>
        <w:ind w:left="118" w:hanging="509"/>
        <w:jc w:val="left"/>
      </w:pPr>
      <w:rPr>
        <w:rFonts w:hint="default"/>
      </w:rPr>
    </w:lvl>
    <w:lvl w:ilvl="2">
      <w:start w:val="2"/>
      <w:numFmt w:val="decimal"/>
      <w:lvlText w:val="%1.%2.%3"/>
      <w:lvlJc w:val="left"/>
      <w:pPr>
        <w:ind w:left="118" w:hanging="509"/>
        <w:jc w:val="left"/>
      </w:pPr>
      <w:rPr>
        <w:rFonts w:hint="default" w:ascii="Calibri" w:hAnsi="Calibri" w:eastAsia="Calibri" w:cs="Calibri"/>
        <w:spacing w:val="0"/>
        <w:w w:val="99"/>
        <w:sz w:val="20"/>
        <w:szCs w:val="20"/>
      </w:rPr>
    </w:lvl>
    <w:lvl w:ilvl="3">
      <w:start w:val="0"/>
      <w:numFmt w:val="bullet"/>
      <w:lvlText w:val="•"/>
      <w:lvlJc w:val="left"/>
      <w:pPr>
        <w:ind w:left="3115" w:hanging="509"/>
      </w:pPr>
      <w:rPr>
        <w:rFonts w:hint="default"/>
      </w:rPr>
    </w:lvl>
    <w:lvl w:ilvl="4">
      <w:start w:val="0"/>
      <w:numFmt w:val="bullet"/>
      <w:lvlText w:val="•"/>
      <w:lvlJc w:val="left"/>
      <w:pPr>
        <w:ind w:left="4114" w:hanging="509"/>
      </w:pPr>
      <w:rPr>
        <w:rFonts w:hint="default"/>
      </w:rPr>
    </w:lvl>
    <w:lvl w:ilvl="5">
      <w:start w:val="0"/>
      <w:numFmt w:val="bullet"/>
      <w:lvlText w:val="•"/>
      <w:lvlJc w:val="left"/>
      <w:pPr>
        <w:ind w:left="5113" w:hanging="509"/>
      </w:pPr>
      <w:rPr>
        <w:rFonts w:hint="default"/>
      </w:rPr>
    </w:lvl>
    <w:lvl w:ilvl="6">
      <w:start w:val="0"/>
      <w:numFmt w:val="bullet"/>
      <w:lvlText w:val="•"/>
      <w:lvlJc w:val="left"/>
      <w:pPr>
        <w:ind w:left="6111" w:hanging="509"/>
      </w:pPr>
      <w:rPr>
        <w:rFonts w:hint="default"/>
      </w:rPr>
    </w:lvl>
    <w:lvl w:ilvl="7">
      <w:start w:val="0"/>
      <w:numFmt w:val="bullet"/>
      <w:lvlText w:val="•"/>
      <w:lvlJc w:val="left"/>
      <w:pPr>
        <w:ind w:left="7110" w:hanging="509"/>
      </w:pPr>
      <w:rPr>
        <w:rFonts w:hint="default"/>
      </w:rPr>
    </w:lvl>
    <w:lvl w:ilvl="8">
      <w:start w:val="0"/>
      <w:numFmt w:val="bullet"/>
      <w:lvlText w:val="•"/>
      <w:lvlJc w:val="left"/>
      <w:pPr>
        <w:ind w:left="8108" w:hanging="509"/>
      </w:pPr>
      <w:rPr>
        <w:rFonts w:hint="default"/>
      </w:rPr>
    </w:lvl>
  </w:abstractNum>
  <w:abstractNum w:abstractNumId="23">
    <w:multiLevelType w:val="hybridMultilevel"/>
    <w:lvl w:ilvl="0">
      <w:start w:val="3"/>
      <w:numFmt w:val="decimal"/>
      <w:lvlText w:val="%1"/>
      <w:lvlJc w:val="left"/>
      <w:pPr>
        <w:ind w:left="116" w:hanging="548"/>
        <w:jc w:val="left"/>
      </w:pPr>
      <w:rPr>
        <w:rFonts w:hint="default"/>
      </w:rPr>
    </w:lvl>
    <w:lvl w:ilvl="1">
      <w:start w:val="4"/>
      <w:numFmt w:val="decimal"/>
      <w:lvlText w:val="%1.%2"/>
      <w:lvlJc w:val="left"/>
      <w:pPr>
        <w:ind w:left="116" w:hanging="548"/>
        <w:jc w:val="left"/>
      </w:pPr>
      <w:rPr>
        <w:rFonts w:hint="default"/>
      </w:rPr>
    </w:lvl>
    <w:lvl w:ilvl="2">
      <w:start w:val="1"/>
      <w:numFmt w:val="decimal"/>
      <w:lvlText w:val="%1.%2.%3"/>
      <w:lvlJc w:val="left"/>
      <w:pPr>
        <w:ind w:left="116" w:hanging="548"/>
        <w:jc w:val="left"/>
      </w:pPr>
      <w:rPr>
        <w:rFonts w:hint="default" w:ascii="Calibri" w:hAnsi="Calibri" w:eastAsia="Calibri" w:cs="Calibri"/>
        <w:spacing w:val="0"/>
        <w:w w:val="99"/>
        <w:sz w:val="20"/>
        <w:szCs w:val="20"/>
      </w:rPr>
    </w:lvl>
    <w:lvl w:ilvl="3">
      <w:start w:val="0"/>
      <w:numFmt w:val="bullet"/>
      <w:lvlText w:val="•"/>
      <w:lvlJc w:val="left"/>
      <w:pPr>
        <w:ind w:left="3115" w:hanging="548"/>
      </w:pPr>
      <w:rPr>
        <w:rFonts w:hint="default"/>
      </w:rPr>
    </w:lvl>
    <w:lvl w:ilvl="4">
      <w:start w:val="0"/>
      <w:numFmt w:val="bullet"/>
      <w:lvlText w:val="•"/>
      <w:lvlJc w:val="left"/>
      <w:pPr>
        <w:ind w:left="4114" w:hanging="548"/>
      </w:pPr>
      <w:rPr>
        <w:rFonts w:hint="default"/>
      </w:rPr>
    </w:lvl>
    <w:lvl w:ilvl="5">
      <w:start w:val="0"/>
      <w:numFmt w:val="bullet"/>
      <w:lvlText w:val="•"/>
      <w:lvlJc w:val="left"/>
      <w:pPr>
        <w:ind w:left="5113" w:hanging="548"/>
      </w:pPr>
      <w:rPr>
        <w:rFonts w:hint="default"/>
      </w:rPr>
    </w:lvl>
    <w:lvl w:ilvl="6">
      <w:start w:val="0"/>
      <w:numFmt w:val="bullet"/>
      <w:lvlText w:val="•"/>
      <w:lvlJc w:val="left"/>
      <w:pPr>
        <w:ind w:left="6111" w:hanging="548"/>
      </w:pPr>
      <w:rPr>
        <w:rFonts w:hint="default"/>
      </w:rPr>
    </w:lvl>
    <w:lvl w:ilvl="7">
      <w:start w:val="0"/>
      <w:numFmt w:val="bullet"/>
      <w:lvlText w:val="•"/>
      <w:lvlJc w:val="left"/>
      <w:pPr>
        <w:ind w:left="7110" w:hanging="548"/>
      </w:pPr>
      <w:rPr>
        <w:rFonts w:hint="default"/>
      </w:rPr>
    </w:lvl>
    <w:lvl w:ilvl="8">
      <w:start w:val="0"/>
      <w:numFmt w:val="bullet"/>
      <w:lvlText w:val="•"/>
      <w:lvlJc w:val="left"/>
      <w:pPr>
        <w:ind w:left="8108" w:hanging="548"/>
      </w:pPr>
      <w:rPr>
        <w:rFonts w:hint="default"/>
      </w:rPr>
    </w:lvl>
  </w:abstractNum>
  <w:abstractNum w:abstractNumId="22">
    <w:multiLevelType w:val="hybridMultilevel"/>
    <w:lvl w:ilvl="0">
      <w:start w:val="3"/>
      <w:numFmt w:val="decimal"/>
      <w:lvlText w:val="%1"/>
      <w:lvlJc w:val="left"/>
      <w:pPr>
        <w:ind w:left="116" w:hanging="327"/>
        <w:jc w:val="left"/>
      </w:pPr>
      <w:rPr>
        <w:rFonts w:hint="default"/>
      </w:rPr>
    </w:lvl>
    <w:lvl w:ilvl="1">
      <w:start w:val="3"/>
      <w:numFmt w:val="decimal"/>
      <w:lvlText w:val="%1.%2"/>
      <w:lvlJc w:val="left"/>
      <w:pPr>
        <w:ind w:left="116" w:hanging="327"/>
        <w:jc w:val="right"/>
      </w:pPr>
      <w:rPr>
        <w:rFonts w:hint="default"/>
        <w:spacing w:val="0"/>
        <w:w w:val="99"/>
      </w:rPr>
    </w:lvl>
    <w:lvl w:ilvl="2">
      <w:start w:val="0"/>
      <w:numFmt w:val="bullet"/>
      <w:lvlText w:val="•"/>
      <w:lvlJc w:val="left"/>
      <w:pPr>
        <w:ind w:left="2117" w:hanging="327"/>
      </w:pPr>
      <w:rPr>
        <w:rFonts w:hint="default"/>
      </w:rPr>
    </w:lvl>
    <w:lvl w:ilvl="3">
      <w:start w:val="0"/>
      <w:numFmt w:val="bullet"/>
      <w:lvlText w:val="•"/>
      <w:lvlJc w:val="left"/>
      <w:pPr>
        <w:ind w:left="3115" w:hanging="327"/>
      </w:pPr>
      <w:rPr>
        <w:rFonts w:hint="default"/>
      </w:rPr>
    </w:lvl>
    <w:lvl w:ilvl="4">
      <w:start w:val="0"/>
      <w:numFmt w:val="bullet"/>
      <w:lvlText w:val="•"/>
      <w:lvlJc w:val="left"/>
      <w:pPr>
        <w:ind w:left="4114" w:hanging="327"/>
      </w:pPr>
      <w:rPr>
        <w:rFonts w:hint="default"/>
      </w:rPr>
    </w:lvl>
    <w:lvl w:ilvl="5">
      <w:start w:val="0"/>
      <w:numFmt w:val="bullet"/>
      <w:lvlText w:val="•"/>
      <w:lvlJc w:val="left"/>
      <w:pPr>
        <w:ind w:left="5113" w:hanging="327"/>
      </w:pPr>
      <w:rPr>
        <w:rFonts w:hint="default"/>
      </w:rPr>
    </w:lvl>
    <w:lvl w:ilvl="6">
      <w:start w:val="0"/>
      <w:numFmt w:val="bullet"/>
      <w:lvlText w:val="•"/>
      <w:lvlJc w:val="left"/>
      <w:pPr>
        <w:ind w:left="6111" w:hanging="327"/>
      </w:pPr>
      <w:rPr>
        <w:rFonts w:hint="default"/>
      </w:rPr>
    </w:lvl>
    <w:lvl w:ilvl="7">
      <w:start w:val="0"/>
      <w:numFmt w:val="bullet"/>
      <w:lvlText w:val="•"/>
      <w:lvlJc w:val="left"/>
      <w:pPr>
        <w:ind w:left="7110" w:hanging="327"/>
      </w:pPr>
      <w:rPr>
        <w:rFonts w:hint="default"/>
      </w:rPr>
    </w:lvl>
    <w:lvl w:ilvl="8">
      <w:start w:val="0"/>
      <w:numFmt w:val="bullet"/>
      <w:lvlText w:val="•"/>
      <w:lvlJc w:val="left"/>
      <w:pPr>
        <w:ind w:left="8108" w:hanging="327"/>
      </w:pPr>
      <w:rPr>
        <w:rFonts w:hint="default"/>
      </w:rPr>
    </w:lvl>
  </w:abstractNum>
  <w:abstractNum w:abstractNumId="21">
    <w:multiLevelType w:val="hybridMultilevel"/>
    <w:lvl w:ilvl="0">
      <w:start w:val="3"/>
      <w:numFmt w:val="decimal"/>
      <w:lvlText w:val="%1"/>
      <w:lvlJc w:val="left"/>
      <w:pPr>
        <w:ind w:left="1064" w:hanging="524"/>
        <w:jc w:val="left"/>
      </w:pPr>
      <w:rPr>
        <w:rFonts w:hint="default"/>
      </w:rPr>
    </w:lvl>
    <w:lvl w:ilvl="1">
      <w:start w:val="3"/>
      <w:numFmt w:val="decimal"/>
      <w:lvlText w:val="%1.%2"/>
      <w:lvlJc w:val="left"/>
      <w:pPr>
        <w:ind w:left="1064" w:hanging="524"/>
        <w:jc w:val="left"/>
      </w:pPr>
      <w:rPr>
        <w:rFonts w:hint="default"/>
      </w:rPr>
    </w:lvl>
    <w:lvl w:ilvl="2">
      <w:start w:val="1"/>
      <w:numFmt w:val="decimal"/>
      <w:lvlText w:val="%1.%2.%3"/>
      <w:lvlJc w:val="left"/>
      <w:pPr>
        <w:ind w:left="1064" w:hanging="524"/>
        <w:jc w:val="left"/>
      </w:pPr>
      <w:rPr>
        <w:rFonts w:hint="default" w:ascii="Calibri" w:hAnsi="Calibri" w:eastAsia="Calibri" w:cs="Calibri"/>
        <w:spacing w:val="0"/>
        <w:w w:val="99"/>
        <w:sz w:val="20"/>
        <w:szCs w:val="20"/>
      </w:rPr>
    </w:lvl>
    <w:lvl w:ilvl="3">
      <w:start w:val="0"/>
      <w:numFmt w:val="bullet"/>
      <w:lvlText w:val="•"/>
      <w:lvlJc w:val="left"/>
      <w:pPr>
        <w:ind w:left="3773" w:hanging="524"/>
      </w:pPr>
      <w:rPr>
        <w:rFonts w:hint="default"/>
      </w:rPr>
    </w:lvl>
    <w:lvl w:ilvl="4">
      <w:start w:val="0"/>
      <w:numFmt w:val="bullet"/>
      <w:lvlText w:val="•"/>
      <w:lvlJc w:val="left"/>
      <w:pPr>
        <w:ind w:left="4678" w:hanging="524"/>
      </w:pPr>
      <w:rPr>
        <w:rFonts w:hint="default"/>
      </w:rPr>
    </w:lvl>
    <w:lvl w:ilvl="5">
      <w:start w:val="0"/>
      <w:numFmt w:val="bullet"/>
      <w:lvlText w:val="•"/>
      <w:lvlJc w:val="left"/>
      <w:pPr>
        <w:ind w:left="5583" w:hanging="524"/>
      </w:pPr>
      <w:rPr>
        <w:rFonts w:hint="default"/>
      </w:rPr>
    </w:lvl>
    <w:lvl w:ilvl="6">
      <w:start w:val="0"/>
      <w:numFmt w:val="bullet"/>
      <w:lvlText w:val="•"/>
      <w:lvlJc w:val="left"/>
      <w:pPr>
        <w:ind w:left="6487" w:hanging="524"/>
      </w:pPr>
      <w:rPr>
        <w:rFonts w:hint="default"/>
      </w:rPr>
    </w:lvl>
    <w:lvl w:ilvl="7">
      <w:start w:val="0"/>
      <w:numFmt w:val="bullet"/>
      <w:lvlText w:val="•"/>
      <w:lvlJc w:val="left"/>
      <w:pPr>
        <w:ind w:left="7392" w:hanging="524"/>
      </w:pPr>
      <w:rPr>
        <w:rFonts w:hint="default"/>
      </w:rPr>
    </w:lvl>
    <w:lvl w:ilvl="8">
      <w:start w:val="0"/>
      <w:numFmt w:val="bullet"/>
      <w:lvlText w:val="•"/>
      <w:lvlJc w:val="left"/>
      <w:pPr>
        <w:ind w:left="8296" w:hanging="524"/>
      </w:pPr>
      <w:rPr>
        <w:rFonts w:hint="default"/>
      </w:rPr>
    </w:lvl>
  </w:abstractNum>
  <w:abstractNum w:abstractNumId="20">
    <w:multiLevelType w:val="hybridMultilevel"/>
    <w:lvl w:ilvl="0">
      <w:start w:val="3"/>
      <w:numFmt w:val="decimal"/>
      <w:lvlText w:val="%1"/>
      <w:lvlJc w:val="left"/>
      <w:pPr>
        <w:ind w:left="120" w:hanging="516"/>
        <w:jc w:val="left"/>
      </w:pPr>
      <w:rPr>
        <w:rFonts w:hint="default"/>
      </w:rPr>
    </w:lvl>
    <w:lvl w:ilvl="1">
      <w:start w:val="2"/>
      <w:numFmt w:val="decimal"/>
      <w:lvlText w:val="%1.%2"/>
      <w:lvlJc w:val="left"/>
      <w:pPr>
        <w:ind w:left="120" w:hanging="516"/>
        <w:jc w:val="left"/>
      </w:pPr>
      <w:rPr>
        <w:rFonts w:hint="default"/>
      </w:rPr>
    </w:lvl>
    <w:lvl w:ilvl="2">
      <w:start w:val="2"/>
      <w:numFmt w:val="decimal"/>
      <w:lvlText w:val="%1.%2.%3"/>
      <w:lvlJc w:val="left"/>
      <w:pPr>
        <w:ind w:left="120" w:hanging="516"/>
        <w:jc w:val="left"/>
      </w:pPr>
      <w:rPr>
        <w:rFonts w:hint="default" w:ascii="Calibri" w:hAnsi="Calibri" w:eastAsia="Calibri" w:cs="Calibri"/>
        <w:spacing w:val="0"/>
        <w:w w:val="99"/>
        <w:sz w:val="20"/>
        <w:szCs w:val="20"/>
      </w:rPr>
    </w:lvl>
    <w:lvl w:ilvl="3">
      <w:start w:val="0"/>
      <w:numFmt w:val="bullet"/>
      <w:lvlText w:val="•"/>
      <w:lvlJc w:val="left"/>
      <w:pPr>
        <w:ind w:left="3115" w:hanging="516"/>
      </w:pPr>
      <w:rPr>
        <w:rFonts w:hint="default"/>
      </w:rPr>
    </w:lvl>
    <w:lvl w:ilvl="4">
      <w:start w:val="0"/>
      <w:numFmt w:val="bullet"/>
      <w:lvlText w:val="•"/>
      <w:lvlJc w:val="left"/>
      <w:pPr>
        <w:ind w:left="4114" w:hanging="516"/>
      </w:pPr>
      <w:rPr>
        <w:rFonts w:hint="default"/>
      </w:rPr>
    </w:lvl>
    <w:lvl w:ilvl="5">
      <w:start w:val="0"/>
      <w:numFmt w:val="bullet"/>
      <w:lvlText w:val="•"/>
      <w:lvlJc w:val="left"/>
      <w:pPr>
        <w:ind w:left="5113" w:hanging="516"/>
      </w:pPr>
      <w:rPr>
        <w:rFonts w:hint="default"/>
      </w:rPr>
    </w:lvl>
    <w:lvl w:ilvl="6">
      <w:start w:val="0"/>
      <w:numFmt w:val="bullet"/>
      <w:lvlText w:val="•"/>
      <w:lvlJc w:val="left"/>
      <w:pPr>
        <w:ind w:left="6111" w:hanging="516"/>
      </w:pPr>
      <w:rPr>
        <w:rFonts w:hint="default"/>
      </w:rPr>
    </w:lvl>
    <w:lvl w:ilvl="7">
      <w:start w:val="0"/>
      <w:numFmt w:val="bullet"/>
      <w:lvlText w:val="•"/>
      <w:lvlJc w:val="left"/>
      <w:pPr>
        <w:ind w:left="7110" w:hanging="516"/>
      </w:pPr>
      <w:rPr>
        <w:rFonts w:hint="default"/>
      </w:rPr>
    </w:lvl>
    <w:lvl w:ilvl="8">
      <w:start w:val="0"/>
      <w:numFmt w:val="bullet"/>
      <w:lvlText w:val="•"/>
      <w:lvlJc w:val="left"/>
      <w:pPr>
        <w:ind w:left="8108" w:hanging="516"/>
      </w:pPr>
      <w:rPr>
        <w:rFonts w:hint="default"/>
      </w:rPr>
    </w:lvl>
  </w:abstractNum>
  <w:abstractNum w:abstractNumId="19">
    <w:multiLevelType w:val="hybridMultilevel"/>
    <w:lvl w:ilvl="0">
      <w:start w:val="3"/>
      <w:numFmt w:val="decimal"/>
      <w:lvlText w:val="%1"/>
      <w:lvlJc w:val="left"/>
      <w:pPr>
        <w:ind w:left="118" w:hanging="497"/>
        <w:jc w:val="left"/>
      </w:pPr>
      <w:rPr>
        <w:rFonts w:hint="default"/>
      </w:rPr>
    </w:lvl>
    <w:lvl w:ilvl="1">
      <w:start w:val="1"/>
      <w:numFmt w:val="decimal"/>
      <w:lvlText w:val="%1.%2"/>
      <w:lvlJc w:val="left"/>
      <w:pPr>
        <w:ind w:left="118" w:hanging="497"/>
        <w:jc w:val="left"/>
      </w:pPr>
      <w:rPr>
        <w:rFonts w:hint="default"/>
      </w:rPr>
    </w:lvl>
    <w:lvl w:ilvl="2">
      <w:start w:val="1"/>
      <w:numFmt w:val="decimal"/>
      <w:lvlText w:val="%1.%2.%3"/>
      <w:lvlJc w:val="left"/>
      <w:pPr>
        <w:ind w:left="118" w:hanging="497"/>
        <w:jc w:val="left"/>
      </w:pPr>
      <w:rPr>
        <w:rFonts w:hint="default" w:ascii="Calibri" w:hAnsi="Calibri" w:eastAsia="Calibri" w:cs="Calibri"/>
        <w:spacing w:val="0"/>
        <w:w w:val="99"/>
        <w:sz w:val="20"/>
        <w:szCs w:val="20"/>
      </w:rPr>
    </w:lvl>
    <w:lvl w:ilvl="3">
      <w:start w:val="0"/>
      <w:numFmt w:val="bullet"/>
      <w:lvlText w:val="•"/>
      <w:lvlJc w:val="left"/>
      <w:pPr>
        <w:ind w:left="3115" w:hanging="497"/>
      </w:pPr>
      <w:rPr>
        <w:rFonts w:hint="default"/>
      </w:rPr>
    </w:lvl>
    <w:lvl w:ilvl="4">
      <w:start w:val="0"/>
      <w:numFmt w:val="bullet"/>
      <w:lvlText w:val="•"/>
      <w:lvlJc w:val="left"/>
      <w:pPr>
        <w:ind w:left="4114" w:hanging="497"/>
      </w:pPr>
      <w:rPr>
        <w:rFonts w:hint="default"/>
      </w:rPr>
    </w:lvl>
    <w:lvl w:ilvl="5">
      <w:start w:val="0"/>
      <w:numFmt w:val="bullet"/>
      <w:lvlText w:val="•"/>
      <w:lvlJc w:val="left"/>
      <w:pPr>
        <w:ind w:left="5113" w:hanging="497"/>
      </w:pPr>
      <w:rPr>
        <w:rFonts w:hint="default"/>
      </w:rPr>
    </w:lvl>
    <w:lvl w:ilvl="6">
      <w:start w:val="0"/>
      <w:numFmt w:val="bullet"/>
      <w:lvlText w:val="•"/>
      <w:lvlJc w:val="left"/>
      <w:pPr>
        <w:ind w:left="6111" w:hanging="497"/>
      </w:pPr>
      <w:rPr>
        <w:rFonts w:hint="default"/>
      </w:rPr>
    </w:lvl>
    <w:lvl w:ilvl="7">
      <w:start w:val="0"/>
      <w:numFmt w:val="bullet"/>
      <w:lvlText w:val="•"/>
      <w:lvlJc w:val="left"/>
      <w:pPr>
        <w:ind w:left="7110" w:hanging="497"/>
      </w:pPr>
      <w:rPr>
        <w:rFonts w:hint="default"/>
      </w:rPr>
    </w:lvl>
    <w:lvl w:ilvl="8">
      <w:start w:val="0"/>
      <w:numFmt w:val="bullet"/>
      <w:lvlText w:val="•"/>
      <w:lvlJc w:val="left"/>
      <w:pPr>
        <w:ind w:left="8108" w:hanging="497"/>
      </w:pPr>
      <w:rPr>
        <w:rFonts w:hint="default"/>
      </w:rPr>
    </w:lvl>
  </w:abstractNum>
  <w:abstractNum w:abstractNumId="18">
    <w:multiLevelType w:val="hybridMultilevel"/>
    <w:lvl w:ilvl="0">
      <w:start w:val="2"/>
      <w:numFmt w:val="decimal"/>
      <w:lvlText w:val="%1"/>
      <w:lvlJc w:val="left"/>
      <w:pPr>
        <w:ind w:left="120" w:hanging="552"/>
        <w:jc w:val="left"/>
      </w:pPr>
      <w:rPr>
        <w:rFonts w:hint="default"/>
      </w:rPr>
    </w:lvl>
    <w:lvl w:ilvl="1">
      <w:start w:val="3"/>
      <w:numFmt w:val="decimal"/>
      <w:lvlText w:val="%1.%2"/>
      <w:lvlJc w:val="left"/>
      <w:pPr>
        <w:ind w:left="120" w:hanging="552"/>
        <w:jc w:val="left"/>
      </w:pPr>
      <w:rPr>
        <w:rFonts w:hint="default"/>
      </w:rPr>
    </w:lvl>
    <w:lvl w:ilvl="2">
      <w:start w:val="1"/>
      <w:numFmt w:val="decimal"/>
      <w:lvlText w:val="%1.%2.%3"/>
      <w:lvlJc w:val="left"/>
      <w:pPr>
        <w:ind w:left="120" w:hanging="552"/>
        <w:jc w:val="left"/>
      </w:pPr>
      <w:rPr>
        <w:rFonts w:hint="default" w:ascii="Calibri" w:hAnsi="Calibri" w:eastAsia="Calibri" w:cs="Calibri"/>
        <w:spacing w:val="0"/>
        <w:w w:val="99"/>
        <w:sz w:val="20"/>
        <w:szCs w:val="20"/>
      </w:rPr>
    </w:lvl>
    <w:lvl w:ilvl="3">
      <w:start w:val="0"/>
      <w:numFmt w:val="bullet"/>
      <w:lvlText w:val="•"/>
      <w:lvlJc w:val="left"/>
      <w:pPr>
        <w:ind w:left="3115" w:hanging="552"/>
      </w:pPr>
      <w:rPr>
        <w:rFonts w:hint="default"/>
      </w:rPr>
    </w:lvl>
    <w:lvl w:ilvl="4">
      <w:start w:val="0"/>
      <w:numFmt w:val="bullet"/>
      <w:lvlText w:val="•"/>
      <w:lvlJc w:val="left"/>
      <w:pPr>
        <w:ind w:left="4114" w:hanging="552"/>
      </w:pPr>
      <w:rPr>
        <w:rFonts w:hint="default"/>
      </w:rPr>
    </w:lvl>
    <w:lvl w:ilvl="5">
      <w:start w:val="0"/>
      <w:numFmt w:val="bullet"/>
      <w:lvlText w:val="•"/>
      <w:lvlJc w:val="left"/>
      <w:pPr>
        <w:ind w:left="5113" w:hanging="552"/>
      </w:pPr>
      <w:rPr>
        <w:rFonts w:hint="default"/>
      </w:rPr>
    </w:lvl>
    <w:lvl w:ilvl="6">
      <w:start w:val="0"/>
      <w:numFmt w:val="bullet"/>
      <w:lvlText w:val="•"/>
      <w:lvlJc w:val="left"/>
      <w:pPr>
        <w:ind w:left="6111" w:hanging="552"/>
      </w:pPr>
      <w:rPr>
        <w:rFonts w:hint="default"/>
      </w:rPr>
    </w:lvl>
    <w:lvl w:ilvl="7">
      <w:start w:val="0"/>
      <w:numFmt w:val="bullet"/>
      <w:lvlText w:val="•"/>
      <w:lvlJc w:val="left"/>
      <w:pPr>
        <w:ind w:left="7110" w:hanging="552"/>
      </w:pPr>
      <w:rPr>
        <w:rFonts w:hint="default"/>
      </w:rPr>
    </w:lvl>
    <w:lvl w:ilvl="8">
      <w:start w:val="0"/>
      <w:numFmt w:val="bullet"/>
      <w:lvlText w:val="•"/>
      <w:lvlJc w:val="left"/>
      <w:pPr>
        <w:ind w:left="8108" w:hanging="552"/>
      </w:pPr>
      <w:rPr>
        <w:rFonts w:hint="default"/>
      </w:rPr>
    </w:lvl>
  </w:abstractNum>
  <w:abstractNum w:abstractNumId="17">
    <w:multiLevelType w:val="hybridMultilevel"/>
    <w:lvl w:ilvl="0">
      <w:start w:val="2"/>
      <w:numFmt w:val="decimal"/>
      <w:lvlText w:val="%1"/>
      <w:lvlJc w:val="left"/>
      <w:pPr>
        <w:ind w:left="116" w:hanging="521"/>
        <w:jc w:val="left"/>
      </w:pPr>
      <w:rPr>
        <w:rFonts w:hint="default"/>
      </w:rPr>
    </w:lvl>
    <w:lvl w:ilvl="1">
      <w:start w:val="2"/>
      <w:numFmt w:val="decimal"/>
      <w:lvlText w:val="%1.%2"/>
      <w:lvlJc w:val="left"/>
      <w:pPr>
        <w:ind w:left="116" w:hanging="521"/>
        <w:jc w:val="left"/>
      </w:pPr>
      <w:rPr>
        <w:rFonts w:hint="default"/>
      </w:rPr>
    </w:lvl>
    <w:lvl w:ilvl="2">
      <w:start w:val="1"/>
      <w:numFmt w:val="decimal"/>
      <w:lvlText w:val="%1.%2.%3"/>
      <w:lvlJc w:val="left"/>
      <w:pPr>
        <w:ind w:left="116" w:hanging="521"/>
        <w:jc w:val="left"/>
      </w:pPr>
      <w:rPr>
        <w:rFonts w:hint="default" w:ascii="Calibri" w:hAnsi="Calibri" w:eastAsia="Calibri" w:cs="Calibri"/>
        <w:spacing w:val="0"/>
        <w:w w:val="99"/>
        <w:sz w:val="20"/>
        <w:szCs w:val="20"/>
      </w:rPr>
    </w:lvl>
    <w:lvl w:ilvl="3">
      <w:start w:val="0"/>
      <w:numFmt w:val="bullet"/>
      <w:lvlText w:val="•"/>
      <w:lvlJc w:val="left"/>
      <w:pPr>
        <w:ind w:left="3115" w:hanging="521"/>
      </w:pPr>
      <w:rPr>
        <w:rFonts w:hint="default"/>
      </w:rPr>
    </w:lvl>
    <w:lvl w:ilvl="4">
      <w:start w:val="0"/>
      <w:numFmt w:val="bullet"/>
      <w:lvlText w:val="•"/>
      <w:lvlJc w:val="left"/>
      <w:pPr>
        <w:ind w:left="4114" w:hanging="521"/>
      </w:pPr>
      <w:rPr>
        <w:rFonts w:hint="default"/>
      </w:rPr>
    </w:lvl>
    <w:lvl w:ilvl="5">
      <w:start w:val="0"/>
      <w:numFmt w:val="bullet"/>
      <w:lvlText w:val="•"/>
      <w:lvlJc w:val="left"/>
      <w:pPr>
        <w:ind w:left="5113" w:hanging="521"/>
      </w:pPr>
      <w:rPr>
        <w:rFonts w:hint="default"/>
      </w:rPr>
    </w:lvl>
    <w:lvl w:ilvl="6">
      <w:start w:val="0"/>
      <w:numFmt w:val="bullet"/>
      <w:lvlText w:val="•"/>
      <w:lvlJc w:val="left"/>
      <w:pPr>
        <w:ind w:left="6111" w:hanging="521"/>
      </w:pPr>
      <w:rPr>
        <w:rFonts w:hint="default"/>
      </w:rPr>
    </w:lvl>
    <w:lvl w:ilvl="7">
      <w:start w:val="0"/>
      <w:numFmt w:val="bullet"/>
      <w:lvlText w:val="•"/>
      <w:lvlJc w:val="left"/>
      <w:pPr>
        <w:ind w:left="7110" w:hanging="521"/>
      </w:pPr>
      <w:rPr>
        <w:rFonts w:hint="default"/>
      </w:rPr>
    </w:lvl>
    <w:lvl w:ilvl="8">
      <w:start w:val="0"/>
      <w:numFmt w:val="bullet"/>
      <w:lvlText w:val="•"/>
      <w:lvlJc w:val="left"/>
      <w:pPr>
        <w:ind w:left="8108" w:hanging="521"/>
      </w:pPr>
      <w:rPr>
        <w:rFonts w:hint="default"/>
      </w:rPr>
    </w:lvl>
  </w:abstractNum>
  <w:abstractNum w:abstractNumId="16">
    <w:multiLevelType w:val="hybridMultilevel"/>
    <w:lvl w:ilvl="0">
      <w:start w:val="2"/>
      <w:numFmt w:val="decimal"/>
      <w:lvlText w:val="%1"/>
      <w:lvlJc w:val="left"/>
      <w:pPr>
        <w:ind w:left="1308" w:hanging="497"/>
        <w:jc w:val="left"/>
      </w:pPr>
      <w:rPr>
        <w:rFonts w:hint="default"/>
      </w:rPr>
    </w:lvl>
    <w:lvl w:ilvl="1">
      <w:start w:val="1"/>
      <w:numFmt w:val="decimal"/>
      <w:lvlText w:val="%1.%2"/>
      <w:lvlJc w:val="left"/>
      <w:pPr>
        <w:ind w:left="1308" w:hanging="497"/>
        <w:jc w:val="left"/>
      </w:pPr>
      <w:rPr>
        <w:rFonts w:hint="default" w:ascii="黑体" w:hAnsi="黑体" w:eastAsia="黑体" w:cs="黑体"/>
        <w:spacing w:val="-2"/>
        <w:w w:val="100"/>
        <w:sz w:val="28"/>
        <w:szCs w:val="28"/>
      </w:rPr>
    </w:lvl>
    <w:lvl w:ilvl="2">
      <w:start w:val="0"/>
      <w:numFmt w:val="bullet"/>
      <w:lvlText w:val="•"/>
      <w:lvlJc w:val="left"/>
      <w:pPr>
        <w:ind w:left="3061" w:hanging="497"/>
      </w:pPr>
      <w:rPr>
        <w:rFonts w:hint="default"/>
      </w:rPr>
    </w:lvl>
    <w:lvl w:ilvl="3">
      <w:start w:val="0"/>
      <w:numFmt w:val="bullet"/>
      <w:lvlText w:val="•"/>
      <w:lvlJc w:val="left"/>
      <w:pPr>
        <w:ind w:left="3941" w:hanging="497"/>
      </w:pPr>
      <w:rPr>
        <w:rFonts w:hint="default"/>
      </w:rPr>
    </w:lvl>
    <w:lvl w:ilvl="4">
      <w:start w:val="0"/>
      <w:numFmt w:val="bullet"/>
      <w:lvlText w:val="•"/>
      <w:lvlJc w:val="left"/>
      <w:pPr>
        <w:ind w:left="4822" w:hanging="497"/>
      </w:pPr>
      <w:rPr>
        <w:rFonts w:hint="default"/>
      </w:rPr>
    </w:lvl>
    <w:lvl w:ilvl="5">
      <w:start w:val="0"/>
      <w:numFmt w:val="bullet"/>
      <w:lvlText w:val="•"/>
      <w:lvlJc w:val="left"/>
      <w:pPr>
        <w:ind w:left="5703" w:hanging="497"/>
      </w:pPr>
      <w:rPr>
        <w:rFonts w:hint="default"/>
      </w:rPr>
    </w:lvl>
    <w:lvl w:ilvl="6">
      <w:start w:val="0"/>
      <w:numFmt w:val="bullet"/>
      <w:lvlText w:val="•"/>
      <w:lvlJc w:val="left"/>
      <w:pPr>
        <w:ind w:left="6583" w:hanging="497"/>
      </w:pPr>
      <w:rPr>
        <w:rFonts w:hint="default"/>
      </w:rPr>
    </w:lvl>
    <w:lvl w:ilvl="7">
      <w:start w:val="0"/>
      <w:numFmt w:val="bullet"/>
      <w:lvlText w:val="•"/>
      <w:lvlJc w:val="left"/>
      <w:pPr>
        <w:ind w:left="7464" w:hanging="497"/>
      </w:pPr>
      <w:rPr>
        <w:rFonts w:hint="default"/>
      </w:rPr>
    </w:lvl>
    <w:lvl w:ilvl="8">
      <w:start w:val="0"/>
      <w:numFmt w:val="bullet"/>
      <w:lvlText w:val="•"/>
      <w:lvlJc w:val="left"/>
      <w:pPr>
        <w:ind w:left="8344" w:hanging="497"/>
      </w:pPr>
      <w:rPr>
        <w:rFonts w:hint="default"/>
      </w:rPr>
    </w:lvl>
  </w:abstractNum>
  <w:abstractNum w:abstractNumId="15">
    <w:multiLevelType w:val="hybridMultilevel"/>
    <w:lvl w:ilvl="0">
      <w:start w:val="1"/>
      <w:numFmt w:val="decimal"/>
      <w:lvlText w:val="%1"/>
      <w:lvlJc w:val="left"/>
      <w:pPr>
        <w:ind w:left="116" w:hanging="627"/>
        <w:jc w:val="left"/>
      </w:pPr>
      <w:rPr>
        <w:rFonts w:hint="default"/>
      </w:rPr>
    </w:lvl>
    <w:lvl w:ilvl="1">
      <w:start w:val="12"/>
      <w:numFmt w:val="decimal"/>
      <w:lvlText w:val="%1.%2"/>
      <w:lvlJc w:val="left"/>
      <w:pPr>
        <w:ind w:left="116" w:hanging="627"/>
        <w:jc w:val="left"/>
      </w:pPr>
      <w:rPr>
        <w:rFonts w:hint="default"/>
      </w:rPr>
    </w:lvl>
    <w:lvl w:ilvl="2">
      <w:start w:val="2"/>
      <w:numFmt w:val="decimal"/>
      <w:lvlText w:val="%1.%2.%3"/>
      <w:lvlJc w:val="left"/>
      <w:pPr>
        <w:ind w:left="116" w:hanging="627"/>
        <w:jc w:val="left"/>
      </w:pPr>
      <w:rPr>
        <w:rFonts w:hint="default" w:ascii="Calibri" w:hAnsi="Calibri" w:eastAsia="Calibri" w:cs="Calibri"/>
        <w:spacing w:val="0"/>
        <w:w w:val="99"/>
        <w:sz w:val="20"/>
        <w:szCs w:val="20"/>
      </w:rPr>
    </w:lvl>
    <w:lvl w:ilvl="3">
      <w:start w:val="0"/>
      <w:numFmt w:val="bullet"/>
      <w:lvlText w:val="•"/>
      <w:lvlJc w:val="left"/>
      <w:pPr>
        <w:ind w:left="3115" w:hanging="627"/>
      </w:pPr>
      <w:rPr>
        <w:rFonts w:hint="default"/>
      </w:rPr>
    </w:lvl>
    <w:lvl w:ilvl="4">
      <w:start w:val="0"/>
      <w:numFmt w:val="bullet"/>
      <w:lvlText w:val="•"/>
      <w:lvlJc w:val="left"/>
      <w:pPr>
        <w:ind w:left="4114" w:hanging="627"/>
      </w:pPr>
      <w:rPr>
        <w:rFonts w:hint="default"/>
      </w:rPr>
    </w:lvl>
    <w:lvl w:ilvl="5">
      <w:start w:val="0"/>
      <w:numFmt w:val="bullet"/>
      <w:lvlText w:val="•"/>
      <w:lvlJc w:val="left"/>
      <w:pPr>
        <w:ind w:left="5113" w:hanging="627"/>
      </w:pPr>
      <w:rPr>
        <w:rFonts w:hint="default"/>
      </w:rPr>
    </w:lvl>
    <w:lvl w:ilvl="6">
      <w:start w:val="0"/>
      <w:numFmt w:val="bullet"/>
      <w:lvlText w:val="•"/>
      <w:lvlJc w:val="left"/>
      <w:pPr>
        <w:ind w:left="6111" w:hanging="627"/>
      </w:pPr>
      <w:rPr>
        <w:rFonts w:hint="default"/>
      </w:rPr>
    </w:lvl>
    <w:lvl w:ilvl="7">
      <w:start w:val="0"/>
      <w:numFmt w:val="bullet"/>
      <w:lvlText w:val="•"/>
      <w:lvlJc w:val="left"/>
      <w:pPr>
        <w:ind w:left="7110" w:hanging="627"/>
      </w:pPr>
      <w:rPr>
        <w:rFonts w:hint="default"/>
      </w:rPr>
    </w:lvl>
    <w:lvl w:ilvl="8">
      <w:start w:val="0"/>
      <w:numFmt w:val="bullet"/>
      <w:lvlText w:val="•"/>
      <w:lvlJc w:val="left"/>
      <w:pPr>
        <w:ind w:left="8108" w:hanging="627"/>
      </w:pPr>
      <w:rPr>
        <w:rFonts w:hint="default"/>
      </w:rPr>
    </w:lvl>
  </w:abstractNum>
  <w:abstractNum w:abstractNumId="14">
    <w:multiLevelType w:val="hybridMultilevel"/>
    <w:lvl w:ilvl="0">
      <w:start w:val="1"/>
      <w:numFmt w:val="decimal"/>
      <w:lvlText w:val="%1"/>
      <w:lvlJc w:val="left"/>
      <w:pPr>
        <w:ind w:left="1450" w:hanging="622"/>
        <w:jc w:val="left"/>
      </w:pPr>
      <w:rPr>
        <w:rFonts w:hint="default"/>
      </w:rPr>
    </w:lvl>
    <w:lvl w:ilvl="1">
      <w:start w:val="11"/>
      <w:numFmt w:val="decimal"/>
      <w:lvlText w:val="%1.%2"/>
      <w:lvlJc w:val="left"/>
      <w:pPr>
        <w:ind w:left="1450" w:hanging="622"/>
        <w:jc w:val="left"/>
      </w:pPr>
      <w:rPr>
        <w:rFonts w:hint="default" w:ascii="黑体" w:hAnsi="黑体" w:eastAsia="黑体" w:cs="黑体"/>
        <w:spacing w:val="-9"/>
        <w:w w:val="100"/>
        <w:sz w:val="28"/>
        <w:szCs w:val="28"/>
      </w:rPr>
    </w:lvl>
    <w:lvl w:ilvl="2">
      <w:start w:val="0"/>
      <w:numFmt w:val="bullet"/>
      <w:lvlText w:val="•"/>
      <w:lvlJc w:val="left"/>
      <w:pPr>
        <w:ind w:left="3189" w:hanging="622"/>
      </w:pPr>
      <w:rPr>
        <w:rFonts w:hint="default"/>
      </w:rPr>
    </w:lvl>
    <w:lvl w:ilvl="3">
      <w:start w:val="0"/>
      <w:numFmt w:val="bullet"/>
      <w:lvlText w:val="•"/>
      <w:lvlJc w:val="left"/>
      <w:pPr>
        <w:ind w:left="4053" w:hanging="622"/>
      </w:pPr>
      <w:rPr>
        <w:rFonts w:hint="default"/>
      </w:rPr>
    </w:lvl>
    <w:lvl w:ilvl="4">
      <w:start w:val="0"/>
      <w:numFmt w:val="bullet"/>
      <w:lvlText w:val="•"/>
      <w:lvlJc w:val="left"/>
      <w:pPr>
        <w:ind w:left="4918" w:hanging="622"/>
      </w:pPr>
      <w:rPr>
        <w:rFonts w:hint="default"/>
      </w:rPr>
    </w:lvl>
    <w:lvl w:ilvl="5">
      <w:start w:val="0"/>
      <w:numFmt w:val="bullet"/>
      <w:lvlText w:val="•"/>
      <w:lvlJc w:val="left"/>
      <w:pPr>
        <w:ind w:left="5783" w:hanging="622"/>
      </w:pPr>
      <w:rPr>
        <w:rFonts w:hint="default"/>
      </w:rPr>
    </w:lvl>
    <w:lvl w:ilvl="6">
      <w:start w:val="0"/>
      <w:numFmt w:val="bullet"/>
      <w:lvlText w:val="•"/>
      <w:lvlJc w:val="left"/>
      <w:pPr>
        <w:ind w:left="6647" w:hanging="622"/>
      </w:pPr>
      <w:rPr>
        <w:rFonts w:hint="default"/>
      </w:rPr>
    </w:lvl>
    <w:lvl w:ilvl="7">
      <w:start w:val="0"/>
      <w:numFmt w:val="bullet"/>
      <w:lvlText w:val="•"/>
      <w:lvlJc w:val="left"/>
      <w:pPr>
        <w:ind w:left="7512" w:hanging="622"/>
      </w:pPr>
      <w:rPr>
        <w:rFonts w:hint="default"/>
      </w:rPr>
    </w:lvl>
    <w:lvl w:ilvl="8">
      <w:start w:val="0"/>
      <w:numFmt w:val="bullet"/>
      <w:lvlText w:val="•"/>
      <w:lvlJc w:val="left"/>
      <w:pPr>
        <w:ind w:left="8376" w:hanging="622"/>
      </w:pPr>
      <w:rPr>
        <w:rFonts w:hint="default"/>
      </w:rPr>
    </w:lvl>
  </w:abstractNum>
  <w:abstractNum w:abstractNumId="13">
    <w:multiLevelType w:val="hybridMultilevel"/>
    <w:lvl w:ilvl="0">
      <w:start w:val="1"/>
      <w:numFmt w:val="decimal"/>
      <w:lvlText w:val="%1"/>
      <w:lvlJc w:val="left"/>
      <w:pPr>
        <w:ind w:left="125" w:hanging="644"/>
        <w:jc w:val="left"/>
      </w:pPr>
      <w:rPr>
        <w:rFonts w:hint="default"/>
      </w:rPr>
    </w:lvl>
    <w:lvl w:ilvl="1">
      <w:start w:val="10"/>
      <w:numFmt w:val="decimal"/>
      <w:lvlText w:val="%1.%2"/>
      <w:lvlJc w:val="left"/>
      <w:pPr>
        <w:ind w:left="125" w:hanging="644"/>
        <w:jc w:val="left"/>
      </w:pPr>
      <w:rPr>
        <w:rFonts w:hint="default"/>
      </w:rPr>
    </w:lvl>
    <w:lvl w:ilvl="2">
      <w:start w:val="1"/>
      <w:numFmt w:val="decimal"/>
      <w:lvlText w:val="%1.%2.%3"/>
      <w:lvlJc w:val="left"/>
      <w:pPr>
        <w:ind w:left="125" w:hanging="644"/>
        <w:jc w:val="left"/>
      </w:pPr>
      <w:rPr>
        <w:rFonts w:hint="default" w:ascii="Calibri" w:hAnsi="Calibri" w:eastAsia="Calibri" w:cs="Calibri"/>
        <w:spacing w:val="0"/>
        <w:w w:val="99"/>
        <w:sz w:val="20"/>
        <w:szCs w:val="20"/>
      </w:rPr>
    </w:lvl>
    <w:lvl w:ilvl="3">
      <w:start w:val="0"/>
      <w:numFmt w:val="bullet"/>
      <w:lvlText w:val="•"/>
      <w:lvlJc w:val="left"/>
      <w:pPr>
        <w:ind w:left="3115" w:hanging="644"/>
      </w:pPr>
      <w:rPr>
        <w:rFonts w:hint="default"/>
      </w:rPr>
    </w:lvl>
    <w:lvl w:ilvl="4">
      <w:start w:val="0"/>
      <w:numFmt w:val="bullet"/>
      <w:lvlText w:val="•"/>
      <w:lvlJc w:val="left"/>
      <w:pPr>
        <w:ind w:left="4114" w:hanging="644"/>
      </w:pPr>
      <w:rPr>
        <w:rFonts w:hint="default"/>
      </w:rPr>
    </w:lvl>
    <w:lvl w:ilvl="5">
      <w:start w:val="0"/>
      <w:numFmt w:val="bullet"/>
      <w:lvlText w:val="•"/>
      <w:lvlJc w:val="left"/>
      <w:pPr>
        <w:ind w:left="5113" w:hanging="644"/>
      </w:pPr>
      <w:rPr>
        <w:rFonts w:hint="default"/>
      </w:rPr>
    </w:lvl>
    <w:lvl w:ilvl="6">
      <w:start w:val="0"/>
      <w:numFmt w:val="bullet"/>
      <w:lvlText w:val="•"/>
      <w:lvlJc w:val="left"/>
      <w:pPr>
        <w:ind w:left="6111" w:hanging="644"/>
      </w:pPr>
      <w:rPr>
        <w:rFonts w:hint="default"/>
      </w:rPr>
    </w:lvl>
    <w:lvl w:ilvl="7">
      <w:start w:val="0"/>
      <w:numFmt w:val="bullet"/>
      <w:lvlText w:val="•"/>
      <w:lvlJc w:val="left"/>
      <w:pPr>
        <w:ind w:left="7110" w:hanging="644"/>
      </w:pPr>
      <w:rPr>
        <w:rFonts w:hint="default"/>
      </w:rPr>
    </w:lvl>
    <w:lvl w:ilvl="8">
      <w:start w:val="0"/>
      <w:numFmt w:val="bullet"/>
      <w:lvlText w:val="•"/>
      <w:lvlJc w:val="left"/>
      <w:pPr>
        <w:ind w:left="8108" w:hanging="644"/>
      </w:pPr>
      <w:rPr>
        <w:rFonts w:hint="default"/>
      </w:rPr>
    </w:lvl>
  </w:abstractNum>
  <w:abstractNum w:abstractNumId="12">
    <w:multiLevelType w:val="hybridMultilevel"/>
    <w:lvl w:ilvl="0">
      <w:start w:val="1"/>
      <w:numFmt w:val="decimal"/>
      <w:lvlText w:val="%1"/>
      <w:lvlJc w:val="left"/>
      <w:pPr>
        <w:ind w:left="120" w:hanging="514"/>
        <w:jc w:val="left"/>
      </w:pPr>
      <w:rPr>
        <w:rFonts w:hint="default"/>
      </w:rPr>
    </w:lvl>
    <w:lvl w:ilvl="1">
      <w:start w:val="9"/>
      <w:numFmt w:val="decimal"/>
      <w:lvlText w:val="%1.%2"/>
      <w:lvlJc w:val="left"/>
      <w:pPr>
        <w:ind w:left="120" w:hanging="514"/>
        <w:jc w:val="left"/>
      </w:pPr>
      <w:rPr>
        <w:rFonts w:hint="default"/>
      </w:rPr>
    </w:lvl>
    <w:lvl w:ilvl="2">
      <w:start w:val="1"/>
      <w:numFmt w:val="decimal"/>
      <w:lvlText w:val="%1.%2.%3"/>
      <w:lvlJc w:val="left"/>
      <w:pPr>
        <w:ind w:left="120" w:hanging="514"/>
        <w:jc w:val="left"/>
      </w:pPr>
      <w:rPr>
        <w:rFonts w:hint="default" w:ascii="Calibri" w:hAnsi="Calibri" w:eastAsia="Calibri" w:cs="Calibri"/>
        <w:spacing w:val="0"/>
        <w:w w:val="99"/>
        <w:sz w:val="20"/>
        <w:szCs w:val="20"/>
      </w:rPr>
    </w:lvl>
    <w:lvl w:ilvl="3">
      <w:start w:val="0"/>
      <w:numFmt w:val="bullet"/>
      <w:lvlText w:val="•"/>
      <w:lvlJc w:val="left"/>
      <w:pPr>
        <w:ind w:left="3115" w:hanging="514"/>
      </w:pPr>
      <w:rPr>
        <w:rFonts w:hint="default"/>
      </w:rPr>
    </w:lvl>
    <w:lvl w:ilvl="4">
      <w:start w:val="0"/>
      <w:numFmt w:val="bullet"/>
      <w:lvlText w:val="•"/>
      <w:lvlJc w:val="left"/>
      <w:pPr>
        <w:ind w:left="4114" w:hanging="514"/>
      </w:pPr>
      <w:rPr>
        <w:rFonts w:hint="default"/>
      </w:rPr>
    </w:lvl>
    <w:lvl w:ilvl="5">
      <w:start w:val="0"/>
      <w:numFmt w:val="bullet"/>
      <w:lvlText w:val="•"/>
      <w:lvlJc w:val="left"/>
      <w:pPr>
        <w:ind w:left="5113" w:hanging="514"/>
      </w:pPr>
      <w:rPr>
        <w:rFonts w:hint="default"/>
      </w:rPr>
    </w:lvl>
    <w:lvl w:ilvl="6">
      <w:start w:val="0"/>
      <w:numFmt w:val="bullet"/>
      <w:lvlText w:val="•"/>
      <w:lvlJc w:val="left"/>
      <w:pPr>
        <w:ind w:left="6111" w:hanging="514"/>
      </w:pPr>
      <w:rPr>
        <w:rFonts w:hint="default"/>
      </w:rPr>
    </w:lvl>
    <w:lvl w:ilvl="7">
      <w:start w:val="0"/>
      <w:numFmt w:val="bullet"/>
      <w:lvlText w:val="•"/>
      <w:lvlJc w:val="left"/>
      <w:pPr>
        <w:ind w:left="7110" w:hanging="514"/>
      </w:pPr>
      <w:rPr>
        <w:rFonts w:hint="default"/>
      </w:rPr>
    </w:lvl>
    <w:lvl w:ilvl="8">
      <w:start w:val="0"/>
      <w:numFmt w:val="bullet"/>
      <w:lvlText w:val="•"/>
      <w:lvlJc w:val="left"/>
      <w:pPr>
        <w:ind w:left="8108" w:hanging="514"/>
      </w:pPr>
      <w:rPr>
        <w:rFonts w:hint="default"/>
      </w:rPr>
    </w:lvl>
  </w:abstractNum>
  <w:abstractNum w:abstractNumId="11">
    <w:multiLevelType w:val="hybridMultilevel"/>
    <w:lvl w:ilvl="0">
      <w:start w:val="1"/>
      <w:numFmt w:val="decimal"/>
      <w:lvlText w:val="%1"/>
      <w:lvlJc w:val="left"/>
      <w:pPr>
        <w:ind w:left="1320" w:hanging="492"/>
        <w:jc w:val="left"/>
      </w:pPr>
      <w:rPr>
        <w:rFonts w:hint="default"/>
      </w:rPr>
    </w:lvl>
    <w:lvl w:ilvl="1">
      <w:start w:val="5"/>
      <w:numFmt w:val="decimal"/>
      <w:lvlText w:val="%1.%2"/>
      <w:lvlJc w:val="left"/>
      <w:pPr>
        <w:ind w:left="1320" w:hanging="492"/>
        <w:jc w:val="left"/>
      </w:pPr>
      <w:rPr>
        <w:rFonts w:hint="default" w:ascii="黑体" w:hAnsi="黑体" w:eastAsia="黑体" w:cs="黑体"/>
        <w:spacing w:val="-7"/>
        <w:w w:val="100"/>
        <w:sz w:val="28"/>
        <w:szCs w:val="28"/>
      </w:rPr>
    </w:lvl>
    <w:lvl w:ilvl="2">
      <w:start w:val="0"/>
      <w:numFmt w:val="bullet"/>
      <w:lvlText w:val="•"/>
      <w:lvlJc w:val="left"/>
      <w:pPr>
        <w:ind w:left="3077" w:hanging="492"/>
      </w:pPr>
      <w:rPr>
        <w:rFonts w:hint="default"/>
      </w:rPr>
    </w:lvl>
    <w:lvl w:ilvl="3">
      <w:start w:val="0"/>
      <w:numFmt w:val="bullet"/>
      <w:lvlText w:val="•"/>
      <w:lvlJc w:val="left"/>
      <w:pPr>
        <w:ind w:left="3955" w:hanging="492"/>
      </w:pPr>
      <w:rPr>
        <w:rFonts w:hint="default"/>
      </w:rPr>
    </w:lvl>
    <w:lvl w:ilvl="4">
      <w:start w:val="0"/>
      <w:numFmt w:val="bullet"/>
      <w:lvlText w:val="•"/>
      <w:lvlJc w:val="left"/>
      <w:pPr>
        <w:ind w:left="4834" w:hanging="492"/>
      </w:pPr>
      <w:rPr>
        <w:rFonts w:hint="default"/>
      </w:rPr>
    </w:lvl>
    <w:lvl w:ilvl="5">
      <w:start w:val="0"/>
      <w:numFmt w:val="bullet"/>
      <w:lvlText w:val="•"/>
      <w:lvlJc w:val="left"/>
      <w:pPr>
        <w:ind w:left="5713" w:hanging="492"/>
      </w:pPr>
      <w:rPr>
        <w:rFonts w:hint="default"/>
      </w:rPr>
    </w:lvl>
    <w:lvl w:ilvl="6">
      <w:start w:val="0"/>
      <w:numFmt w:val="bullet"/>
      <w:lvlText w:val="•"/>
      <w:lvlJc w:val="left"/>
      <w:pPr>
        <w:ind w:left="6591" w:hanging="492"/>
      </w:pPr>
      <w:rPr>
        <w:rFonts w:hint="default"/>
      </w:rPr>
    </w:lvl>
    <w:lvl w:ilvl="7">
      <w:start w:val="0"/>
      <w:numFmt w:val="bullet"/>
      <w:lvlText w:val="•"/>
      <w:lvlJc w:val="left"/>
      <w:pPr>
        <w:ind w:left="7470" w:hanging="492"/>
      </w:pPr>
      <w:rPr>
        <w:rFonts w:hint="default"/>
      </w:rPr>
    </w:lvl>
    <w:lvl w:ilvl="8">
      <w:start w:val="0"/>
      <w:numFmt w:val="bullet"/>
      <w:lvlText w:val="•"/>
      <w:lvlJc w:val="left"/>
      <w:pPr>
        <w:ind w:left="8348" w:hanging="492"/>
      </w:pPr>
      <w:rPr>
        <w:rFonts w:hint="default"/>
      </w:rPr>
    </w:lvl>
  </w:abstractNum>
  <w:abstractNum w:abstractNumId="10">
    <w:multiLevelType w:val="hybridMultilevel"/>
    <w:lvl w:ilvl="0">
      <w:start w:val="1"/>
      <w:numFmt w:val="decimal"/>
      <w:lvlText w:val="%1"/>
      <w:lvlJc w:val="left"/>
      <w:pPr>
        <w:ind w:left="132" w:hanging="504"/>
        <w:jc w:val="left"/>
      </w:pPr>
      <w:rPr>
        <w:rFonts w:hint="default"/>
      </w:rPr>
    </w:lvl>
    <w:lvl w:ilvl="1">
      <w:start w:val="4"/>
      <w:numFmt w:val="decimal"/>
      <w:lvlText w:val="%1.%2"/>
      <w:lvlJc w:val="left"/>
      <w:pPr>
        <w:ind w:left="132" w:hanging="504"/>
        <w:jc w:val="left"/>
      </w:pPr>
      <w:rPr>
        <w:rFonts w:hint="default"/>
      </w:rPr>
    </w:lvl>
    <w:lvl w:ilvl="2">
      <w:start w:val="2"/>
      <w:numFmt w:val="decimal"/>
      <w:lvlText w:val="%1.%2.%3"/>
      <w:lvlJc w:val="left"/>
      <w:pPr>
        <w:ind w:left="132" w:hanging="504"/>
        <w:jc w:val="left"/>
      </w:pPr>
      <w:rPr>
        <w:rFonts w:hint="default" w:ascii="Times New Roman" w:hAnsi="Times New Roman" w:eastAsia="Times New Roman" w:cs="Times New Roman"/>
        <w:spacing w:val="0"/>
        <w:w w:val="99"/>
        <w:sz w:val="20"/>
        <w:szCs w:val="20"/>
      </w:rPr>
    </w:lvl>
    <w:lvl w:ilvl="3">
      <w:start w:val="0"/>
      <w:numFmt w:val="bullet"/>
      <w:lvlText w:val="•"/>
      <w:lvlJc w:val="left"/>
      <w:pPr>
        <w:ind w:left="3129" w:hanging="504"/>
      </w:pPr>
      <w:rPr>
        <w:rFonts w:hint="default"/>
      </w:rPr>
    </w:lvl>
    <w:lvl w:ilvl="4">
      <w:start w:val="0"/>
      <w:numFmt w:val="bullet"/>
      <w:lvlText w:val="•"/>
      <w:lvlJc w:val="left"/>
      <w:pPr>
        <w:ind w:left="4126" w:hanging="504"/>
      </w:pPr>
      <w:rPr>
        <w:rFonts w:hint="default"/>
      </w:rPr>
    </w:lvl>
    <w:lvl w:ilvl="5">
      <w:start w:val="0"/>
      <w:numFmt w:val="bullet"/>
      <w:lvlText w:val="•"/>
      <w:lvlJc w:val="left"/>
      <w:pPr>
        <w:ind w:left="5123" w:hanging="504"/>
      </w:pPr>
      <w:rPr>
        <w:rFonts w:hint="default"/>
      </w:rPr>
    </w:lvl>
    <w:lvl w:ilvl="6">
      <w:start w:val="0"/>
      <w:numFmt w:val="bullet"/>
      <w:lvlText w:val="•"/>
      <w:lvlJc w:val="left"/>
      <w:pPr>
        <w:ind w:left="6119" w:hanging="504"/>
      </w:pPr>
      <w:rPr>
        <w:rFonts w:hint="default"/>
      </w:rPr>
    </w:lvl>
    <w:lvl w:ilvl="7">
      <w:start w:val="0"/>
      <w:numFmt w:val="bullet"/>
      <w:lvlText w:val="•"/>
      <w:lvlJc w:val="left"/>
      <w:pPr>
        <w:ind w:left="7116" w:hanging="504"/>
      </w:pPr>
      <w:rPr>
        <w:rFonts w:hint="default"/>
      </w:rPr>
    </w:lvl>
    <w:lvl w:ilvl="8">
      <w:start w:val="0"/>
      <w:numFmt w:val="bullet"/>
      <w:lvlText w:val="•"/>
      <w:lvlJc w:val="left"/>
      <w:pPr>
        <w:ind w:left="8112" w:hanging="504"/>
      </w:pPr>
      <w:rPr>
        <w:rFonts w:hint="default"/>
      </w:rPr>
    </w:lvl>
  </w:abstractNum>
  <w:abstractNum w:abstractNumId="9">
    <w:multiLevelType w:val="hybridMultilevel"/>
    <w:lvl w:ilvl="0">
      <w:start w:val="1"/>
      <w:numFmt w:val="decimal"/>
      <w:lvlText w:val="%1"/>
      <w:lvlJc w:val="left"/>
      <w:pPr>
        <w:ind w:left="1040" w:hanging="488"/>
        <w:jc w:val="left"/>
      </w:pPr>
      <w:rPr>
        <w:rFonts w:hint="default"/>
      </w:rPr>
    </w:lvl>
    <w:lvl w:ilvl="1">
      <w:start w:val="3"/>
      <w:numFmt w:val="decimal"/>
      <w:lvlText w:val="%1.%2"/>
      <w:lvlJc w:val="left"/>
      <w:pPr>
        <w:ind w:left="1040" w:hanging="488"/>
        <w:jc w:val="left"/>
      </w:pPr>
      <w:rPr>
        <w:rFonts w:hint="default"/>
      </w:rPr>
    </w:lvl>
    <w:lvl w:ilvl="2">
      <w:start w:val="2"/>
      <w:numFmt w:val="decimal"/>
      <w:lvlText w:val="%1.%2.%3"/>
      <w:lvlJc w:val="left"/>
      <w:pPr>
        <w:ind w:left="1040" w:hanging="488"/>
        <w:jc w:val="left"/>
      </w:pPr>
      <w:rPr>
        <w:rFonts w:hint="default" w:ascii="Times New Roman" w:hAnsi="Times New Roman" w:eastAsia="Times New Roman" w:cs="Times New Roman"/>
        <w:spacing w:val="0"/>
        <w:w w:val="99"/>
        <w:sz w:val="20"/>
        <w:szCs w:val="20"/>
      </w:rPr>
    </w:lvl>
    <w:lvl w:ilvl="3">
      <w:start w:val="0"/>
      <w:numFmt w:val="bullet"/>
      <w:lvlText w:val="•"/>
      <w:lvlJc w:val="left"/>
      <w:pPr>
        <w:ind w:left="3759" w:hanging="488"/>
      </w:pPr>
      <w:rPr>
        <w:rFonts w:hint="default"/>
      </w:rPr>
    </w:lvl>
    <w:lvl w:ilvl="4">
      <w:start w:val="0"/>
      <w:numFmt w:val="bullet"/>
      <w:lvlText w:val="•"/>
      <w:lvlJc w:val="left"/>
      <w:pPr>
        <w:ind w:left="4666" w:hanging="488"/>
      </w:pPr>
      <w:rPr>
        <w:rFonts w:hint="default"/>
      </w:rPr>
    </w:lvl>
    <w:lvl w:ilvl="5">
      <w:start w:val="0"/>
      <w:numFmt w:val="bullet"/>
      <w:lvlText w:val="•"/>
      <w:lvlJc w:val="left"/>
      <w:pPr>
        <w:ind w:left="5573" w:hanging="488"/>
      </w:pPr>
      <w:rPr>
        <w:rFonts w:hint="default"/>
      </w:rPr>
    </w:lvl>
    <w:lvl w:ilvl="6">
      <w:start w:val="0"/>
      <w:numFmt w:val="bullet"/>
      <w:lvlText w:val="•"/>
      <w:lvlJc w:val="left"/>
      <w:pPr>
        <w:ind w:left="6479" w:hanging="488"/>
      </w:pPr>
      <w:rPr>
        <w:rFonts w:hint="default"/>
      </w:rPr>
    </w:lvl>
    <w:lvl w:ilvl="7">
      <w:start w:val="0"/>
      <w:numFmt w:val="bullet"/>
      <w:lvlText w:val="•"/>
      <w:lvlJc w:val="left"/>
      <w:pPr>
        <w:ind w:left="7386" w:hanging="488"/>
      </w:pPr>
      <w:rPr>
        <w:rFonts w:hint="default"/>
      </w:rPr>
    </w:lvl>
    <w:lvl w:ilvl="8">
      <w:start w:val="0"/>
      <w:numFmt w:val="bullet"/>
      <w:lvlText w:val="•"/>
      <w:lvlJc w:val="left"/>
      <w:pPr>
        <w:ind w:left="8292" w:hanging="488"/>
      </w:pPr>
      <w:rPr>
        <w:rFonts w:hint="default"/>
      </w:rPr>
    </w:lvl>
  </w:abstractNum>
  <w:abstractNum w:abstractNumId="8">
    <w:multiLevelType w:val="hybridMultilevel"/>
    <w:lvl w:ilvl="0">
      <w:start w:val="1"/>
      <w:numFmt w:val="decimal"/>
      <w:lvlText w:val="%1"/>
      <w:lvlJc w:val="left"/>
      <w:pPr>
        <w:ind w:left="908" w:hanging="356"/>
        <w:jc w:val="left"/>
      </w:pPr>
      <w:rPr>
        <w:rFonts w:hint="default"/>
      </w:rPr>
    </w:lvl>
    <w:lvl w:ilvl="1">
      <w:start w:val="2"/>
      <w:numFmt w:val="decimal"/>
      <w:lvlText w:val="%1.%2."/>
      <w:lvlJc w:val="left"/>
      <w:pPr>
        <w:ind w:left="908" w:hanging="356"/>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2741" w:hanging="356"/>
      </w:pPr>
      <w:rPr>
        <w:rFonts w:hint="default"/>
      </w:rPr>
    </w:lvl>
    <w:lvl w:ilvl="3">
      <w:start w:val="0"/>
      <w:numFmt w:val="bullet"/>
      <w:lvlText w:val="•"/>
      <w:lvlJc w:val="left"/>
      <w:pPr>
        <w:ind w:left="3661" w:hanging="356"/>
      </w:pPr>
      <w:rPr>
        <w:rFonts w:hint="default"/>
      </w:rPr>
    </w:lvl>
    <w:lvl w:ilvl="4">
      <w:start w:val="0"/>
      <w:numFmt w:val="bullet"/>
      <w:lvlText w:val="•"/>
      <w:lvlJc w:val="left"/>
      <w:pPr>
        <w:ind w:left="4582" w:hanging="356"/>
      </w:pPr>
      <w:rPr>
        <w:rFonts w:hint="default"/>
      </w:rPr>
    </w:lvl>
    <w:lvl w:ilvl="5">
      <w:start w:val="0"/>
      <w:numFmt w:val="bullet"/>
      <w:lvlText w:val="•"/>
      <w:lvlJc w:val="left"/>
      <w:pPr>
        <w:ind w:left="5503" w:hanging="356"/>
      </w:pPr>
      <w:rPr>
        <w:rFonts w:hint="default"/>
      </w:rPr>
    </w:lvl>
    <w:lvl w:ilvl="6">
      <w:start w:val="0"/>
      <w:numFmt w:val="bullet"/>
      <w:lvlText w:val="•"/>
      <w:lvlJc w:val="left"/>
      <w:pPr>
        <w:ind w:left="6423" w:hanging="356"/>
      </w:pPr>
      <w:rPr>
        <w:rFonts w:hint="default"/>
      </w:rPr>
    </w:lvl>
    <w:lvl w:ilvl="7">
      <w:start w:val="0"/>
      <w:numFmt w:val="bullet"/>
      <w:lvlText w:val="•"/>
      <w:lvlJc w:val="left"/>
      <w:pPr>
        <w:ind w:left="7344" w:hanging="356"/>
      </w:pPr>
      <w:rPr>
        <w:rFonts w:hint="default"/>
      </w:rPr>
    </w:lvl>
    <w:lvl w:ilvl="8">
      <w:start w:val="0"/>
      <w:numFmt w:val="bullet"/>
      <w:lvlText w:val="•"/>
      <w:lvlJc w:val="left"/>
      <w:pPr>
        <w:ind w:left="8264" w:hanging="356"/>
      </w:pPr>
      <w:rPr>
        <w:rFonts w:hint="default"/>
      </w:rPr>
    </w:lvl>
  </w:abstractNum>
  <w:abstractNum w:abstractNumId="7">
    <w:multiLevelType w:val="hybridMultilevel"/>
    <w:lvl w:ilvl="0">
      <w:start w:val="1"/>
      <w:numFmt w:val="decimal"/>
      <w:lvlText w:val="%1"/>
      <w:lvlJc w:val="left"/>
      <w:pPr>
        <w:ind w:left="1320" w:hanging="492"/>
        <w:jc w:val="left"/>
      </w:pPr>
      <w:rPr>
        <w:rFonts w:hint="default"/>
      </w:rPr>
    </w:lvl>
    <w:lvl w:ilvl="1">
      <w:start w:val="1"/>
      <w:numFmt w:val="decimal"/>
      <w:lvlText w:val="%1.%2"/>
      <w:lvlJc w:val="left"/>
      <w:pPr>
        <w:ind w:left="1320" w:hanging="492"/>
        <w:jc w:val="left"/>
      </w:pPr>
      <w:rPr>
        <w:rFonts w:hint="default" w:ascii="黑体" w:hAnsi="黑体" w:eastAsia="黑体" w:cs="黑体"/>
        <w:spacing w:val="-4"/>
        <w:w w:val="100"/>
        <w:sz w:val="28"/>
        <w:szCs w:val="28"/>
      </w:rPr>
    </w:lvl>
    <w:lvl w:ilvl="2">
      <w:start w:val="0"/>
      <w:numFmt w:val="bullet"/>
      <w:lvlText w:val="•"/>
      <w:lvlJc w:val="left"/>
      <w:pPr>
        <w:ind w:left="3077" w:hanging="492"/>
      </w:pPr>
      <w:rPr>
        <w:rFonts w:hint="default"/>
      </w:rPr>
    </w:lvl>
    <w:lvl w:ilvl="3">
      <w:start w:val="0"/>
      <w:numFmt w:val="bullet"/>
      <w:lvlText w:val="•"/>
      <w:lvlJc w:val="left"/>
      <w:pPr>
        <w:ind w:left="3955" w:hanging="492"/>
      </w:pPr>
      <w:rPr>
        <w:rFonts w:hint="default"/>
      </w:rPr>
    </w:lvl>
    <w:lvl w:ilvl="4">
      <w:start w:val="0"/>
      <w:numFmt w:val="bullet"/>
      <w:lvlText w:val="•"/>
      <w:lvlJc w:val="left"/>
      <w:pPr>
        <w:ind w:left="4834" w:hanging="492"/>
      </w:pPr>
      <w:rPr>
        <w:rFonts w:hint="default"/>
      </w:rPr>
    </w:lvl>
    <w:lvl w:ilvl="5">
      <w:start w:val="0"/>
      <w:numFmt w:val="bullet"/>
      <w:lvlText w:val="•"/>
      <w:lvlJc w:val="left"/>
      <w:pPr>
        <w:ind w:left="5713" w:hanging="492"/>
      </w:pPr>
      <w:rPr>
        <w:rFonts w:hint="default"/>
      </w:rPr>
    </w:lvl>
    <w:lvl w:ilvl="6">
      <w:start w:val="0"/>
      <w:numFmt w:val="bullet"/>
      <w:lvlText w:val="•"/>
      <w:lvlJc w:val="left"/>
      <w:pPr>
        <w:ind w:left="6591" w:hanging="492"/>
      </w:pPr>
      <w:rPr>
        <w:rFonts w:hint="default"/>
      </w:rPr>
    </w:lvl>
    <w:lvl w:ilvl="7">
      <w:start w:val="0"/>
      <w:numFmt w:val="bullet"/>
      <w:lvlText w:val="•"/>
      <w:lvlJc w:val="left"/>
      <w:pPr>
        <w:ind w:left="7470" w:hanging="492"/>
      </w:pPr>
      <w:rPr>
        <w:rFonts w:hint="default"/>
      </w:rPr>
    </w:lvl>
    <w:lvl w:ilvl="8">
      <w:start w:val="0"/>
      <w:numFmt w:val="bullet"/>
      <w:lvlText w:val="•"/>
      <w:lvlJc w:val="left"/>
      <w:pPr>
        <w:ind w:left="8348" w:hanging="492"/>
      </w:pPr>
      <w:rPr>
        <w:rFonts w:hint="default"/>
      </w:rPr>
    </w:lvl>
  </w:abstractNum>
  <w:abstractNum w:abstractNumId="5">
    <w:multiLevelType w:val="hybridMultilevel"/>
    <w:lvl w:ilvl="0">
      <w:start w:val="1"/>
      <w:numFmt w:val="decimal"/>
      <w:lvlText w:val="%1."/>
      <w:lvlJc w:val="left"/>
      <w:pPr>
        <w:ind w:left="198" w:hanging="197"/>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839" w:hanging="197"/>
      </w:pPr>
      <w:rPr>
        <w:rFonts w:hint="default"/>
      </w:rPr>
    </w:lvl>
    <w:lvl w:ilvl="2">
      <w:start w:val="0"/>
      <w:numFmt w:val="bullet"/>
      <w:lvlText w:val="•"/>
      <w:lvlJc w:val="left"/>
      <w:pPr>
        <w:ind w:left="1479" w:hanging="197"/>
      </w:pPr>
      <w:rPr>
        <w:rFonts w:hint="default"/>
      </w:rPr>
    </w:lvl>
    <w:lvl w:ilvl="3">
      <w:start w:val="0"/>
      <w:numFmt w:val="bullet"/>
      <w:lvlText w:val="•"/>
      <w:lvlJc w:val="left"/>
      <w:pPr>
        <w:ind w:left="2119" w:hanging="197"/>
      </w:pPr>
      <w:rPr>
        <w:rFonts w:hint="default"/>
      </w:rPr>
    </w:lvl>
    <w:lvl w:ilvl="4">
      <w:start w:val="0"/>
      <w:numFmt w:val="bullet"/>
      <w:lvlText w:val="•"/>
      <w:lvlJc w:val="left"/>
      <w:pPr>
        <w:ind w:left="2759" w:hanging="197"/>
      </w:pPr>
      <w:rPr>
        <w:rFonts w:hint="default"/>
      </w:rPr>
    </w:lvl>
    <w:lvl w:ilvl="5">
      <w:start w:val="0"/>
      <w:numFmt w:val="bullet"/>
      <w:lvlText w:val="•"/>
      <w:lvlJc w:val="left"/>
      <w:pPr>
        <w:ind w:left="3399" w:hanging="197"/>
      </w:pPr>
      <w:rPr>
        <w:rFonts w:hint="default"/>
      </w:rPr>
    </w:lvl>
    <w:lvl w:ilvl="6">
      <w:start w:val="0"/>
      <w:numFmt w:val="bullet"/>
      <w:lvlText w:val="•"/>
      <w:lvlJc w:val="left"/>
      <w:pPr>
        <w:ind w:left="4038" w:hanging="197"/>
      </w:pPr>
      <w:rPr>
        <w:rFonts w:hint="default"/>
      </w:rPr>
    </w:lvl>
    <w:lvl w:ilvl="7">
      <w:start w:val="0"/>
      <w:numFmt w:val="bullet"/>
      <w:lvlText w:val="•"/>
      <w:lvlJc w:val="left"/>
      <w:pPr>
        <w:ind w:left="4678" w:hanging="197"/>
      </w:pPr>
      <w:rPr>
        <w:rFonts w:hint="default"/>
      </w:rPr>
    </w:lvl>
    <w:lvl w:ilvl="8">
      <w:start w:val="0"/>
      <w:numFmt w:val="bullet"/>
      <w:lvlText w:val="•"/>
      <w:lvlJc w:val="left"/>
      <w:pPr>
        <w:ind w:left="5318" w:hanging="197"/>
      </w:pPr>
      <w:rPr>
        <w:rFonts w:hint="default"/>
      </w:rPr>
    </w:lvl>
  </w:abstractNum>
  <w:abstractNum w:abstractNumId="4">
    <w:multiLevelType w:val="hybridMultilevel"/>
    <w:lvl w:ilvl="0">
      <w:start w:val="5"/>
      <w:numFmt w:val="decimal"/>
      <w:lvlText w:val="%1"/>
      <w:lvlJc w:val="left"/>
      <w:pPr>
        <w:ind w:left="118" w:hanging="425"/>
        <w:jc w:val="left"/>
      </w:pPr>
      <w:rPr>
        <w:rFonts w:hint="default"/>
      </w:rPr>
    </w:lvl>
    <w:lvl w:ilvl="1">
      <w:start w:val="1"/>
      <w:numFmt w:val="decimal"/>
      <w:lvlText w:val="%1.%2"/>
      <w:lvlJc w:val="left"/>
      <w:pPr>
        <w:ind w:left="118" w:hanging="425"/>
        <w:jc w:val="left"/>
      </w:pPr>
      <w:rPr>
        <w:rFonts w:hint="default" w:ascii="宋体" w:hAnsi="宋体" w:eastAsia="宋体" w:cs="宋体"/>
        <w:spacing w:val="0"/>
        <w:w w:val="99"/>
        <w:sz w:val="20"/>
        <w:szCs w:val="20"/>
      </w:rPr>
    </w:lvl>
    <w:lvl w:ilvl="2">
      <w:start w:val="0"/>
      <w:numFmt w:val="bullet"/>
      <w:lvlText w:val="•"/>
      <w:lvlJc w:val="left"/>
      <w:pPr>
        <w:ind w:left="2117" w:hanging="425"/>
      </w:pPr>
      <w:rPr>
        <w:rFonts w:hint="default"/>
      </w:rPr>
    </w:lvl>
    <w:lvl w:ilvl="3">
      <w:start w:val="0"/>
      <w:numFmt w:val="bullet"/>
      <w:lvlText w:val="•"/>
      <w:lvlJc w:val="left"/>
      <w:pPr>
        <w:ind w:left="3115" w:hanging="425"/>
      </w:pPr>
      <w:rPr>
        <w:rFonts w:hint="default"/>
      </w:rPr>
    </w:lvl>
    <w:lvl w:ilvl="4">
      <w:start w:val="0"/>
      <w:numFmt w:val="bullet"/>
      <w:lvlText w:val="•"/>
      <w:lvlJc w:val="left"/>
      <w:pPr>
        <w:ind w:left="4114" w:hanging="425"/>
      </w:pPr>
      <w:rPr>
        <w:rFonts w:hint="default"/>
      </w:rPr>
    </w:lvl>
    <w:lvl w:ilvl="5">
      <w:start w:val="0"/>
      <w:numFmt w:val="bullet"/>
      <w:lvlText w:val="•"/>
      <w:lvlJc w:val="left"/>
      <w:pPr>
        <w:ind w:left="5113" w:hanging="425"/>
      </w:pPr>
      <w:rPr>
        <w:rFonts w:hint="default"/>
      </w:rPr>
    </w:lvl>
    <w:lvl w:ilvl="6">
      <w:start w:val="0"/>
      <w:numFmt w:val="bullet"/>
      <w:lvlText w:val="•"/>
      <w:lvlJc w:val="left"/>
      <w:pPr>
        <w:ind w:left="6111" w:hanging="425"/>
      </w:pPr>
      <w:rPr>
        <w:rFonts w:hint="default"/>
      </w:rPr>
    </w:lvl>
    <w:lvl w:ilvl="7">
      <w:start w:val="0"/>
      <w:numFmt w:val="bullet"/>
      <w:lvlText w:val="•"/>
      <w:lvlJc w:val="left"/>
      <w:pPr>
        <w:ind w:left="7110" w:hanging="425"/>
      </w:pPr>
      <w:rPr>
        <w:rFonts w:hint="default"/>
      </w:rPr>
    </w:lvl>
    <w:lvl w:ilvl="8">
      <w:start w:val="0"/>
      <w:numFmt w:val="bullet"/>
      <w:lvlText w:val="•"/>
      <w:lvlJc w:val="left"/>
      <w:pPr>
        <w:ind w:left="8108" w:hanging="425"/>
      </w:pPr>
      <w:rPr>
        <w:rFonts w:hint="default"/>
      </w:rPr>
    </w:lvl>
  </w:abstractNum>
  <w:abstractNum w:abstractNumId="3">
    <w:multiLevelType w:val="hybridMultilevel"/>
    <w:lvl w:ilvl="0">
      <w:start w:val="4"/>
      <w:numFmt w:val="decimal"/>
      <w:lvlText w:val="%1"/>
      <w:lvlJc w:val="left"/>
      <w:pPr>
        <w:ind w:left="920" w:hanging="384"/>
        <w:jc w:val="left"/>
      </w:pPr>
      <w:rPr>
        <w:rFonts w:hint="default"/>
      </w:rPr>
    </w:lvl>
    <w:lvl w:ilvl="1">
      <w:start w:val="2"/>
      <w:numFmt w:val="decimal"/>
      <w:lvlText w:val="%1.%2"/>
      <w:lvlJc w:val="left"/>
      <w:pPr>
        <w:ind w:left="920" w:hanging="384"/>
        <w:jc w:val="left"/>
      </w:pPr>
      <w:rPr>
        <w:rFonts w:hint="default" w:ascii="宋体" w:hAnsi="宋体" w:eastAsia="宋体" w:cs="宋体"/>
        <w:spacing w:val="0"/>
        <w:w w:val="99"/>
        <w:sz w:val="20"/>
        <w:szCs w:val="20"/>
      </w:rPr>
    </w:lvl>
    <w:lvl w:ilvl="2">
      <w:start w:val="0"/>
      <w:numFmt w:val="bullet"/>
      <w:lvlText w:val="•"/>
      <w:lvlJc w:val="left"/>
      <w:pPr>
        <w:ind w:left="2757" w:hanging="384"/>
      </w:pPr>
      <w:rPr>
        <w:rFonts w:hint="default"/>
      </w:rPr>
    </w:lvl>
    <w:lvl w:ilvl="3">
      <w:start w:val="0"/>
      <w:numFmt w:val="bullet"/>
      <w:lvlText w:val="•"/>
      <w:lvlJc w:val="left"/>
      <w:pPr>
        <w:ind w:left="3675" w:hanging="384"/>
      </w:pPr>
      <w:rPr>
        <w:rFonts w:hint="default"/>
      </w:rPr>
    </w:lvl>
    <w:lvl w:ilvl="4">
      <w:start w:val="0"/>
      <w:numFmt w:val="bullet"/>
      <w:lvlText w:val="•"/>
      <w:lvlJc w:val="left"/>
      <w:pPr>
        <w:ind w:left="4594" w:hanging="384"/>
      </w:pPr>
      <w:rPr>
        <w:rFonts w:hint="default"/>
      </w:rPr>
    </w:lvl>
    <w:lvl w:ilvl="5">
      <w:start w:val="0"/>
      <w:numFmt w:val="bullet"/>
      <w:lvlText w:val="•"/>
      <w:lvlJc w:val="left"/>
      <w:pPr>
        <w:ind w:left="5513" w:hanging="384"/>
      </w:pPr>
      <w:rPr>
        <w:rFonts w:hint="default"/>
      </w:rPr>
    </w:lvl>
    <w:lvl w:ilvl="6">
      <w:start w:val="0"/>
      <w:numFmt w:val="bullet"/>
      <w:lvlText w:val="•"/>
      <w:lvlJc w:val="left"/>
      <w:pPr>
        <w:ind w:left="6431" w:hanging="384"/>
      </w:pPr>
      <w:rPr>
        <w:rFonts w:hint="default"/>
      </w:rPr>
    </w:lvl>
    <w:lvl w:ilvl="7">
      <w:start w:val="0"/>
      <w:numFmt w:val="bullet"/>
      <w:lvlText w:val="•"/>
      <w:lvlJc w:val="left"/>
      <w:pPr>
        <w:ind w:left="7350" w:hanging="384"/>
      </w:pPr>
      <w:rPr>
        <w:rFonts w:hint="default"/>
      </w:rPr>
    </w:lvl>
    <w:lvl w:ilvl="8">
      <w:start w:val="0"/>
      <w:numFmt w:val="bullet"/>
      <w:lvlText w:val="•"/>
      <w:lvlJc w:val="left"/>
      <w:pPr>
        <w:ind w:left="8268" w:hanging="384"/>
      </w:pPr>
      <w:rPr>
        <w:rFonts w:hint="default"/>
      </w:rPr>
    </w:lvl>
  </w:abstractNum>
  <w:abstractNum w:abstractNumId="2">
    <w:multiLevelType w:val="hybridMultilevel"/>
    <w:lvl w:ilvl="0">
      <w:start w:val="3"/>
      <w:numFmt w:val="decimal"/>
      <w:lvlText w:val="%1"/>
      <w:lvlJc w:val="left"/>
      <w:pPr>
        <w:ind w:left="948" w:hanging="416"/>
        <w:jc w:val="left"/>
      </w:pPr>
      <w:rPr>
        <w:rFonts w:hint="default"/>
      </w:rPr>
    </w:lvl>
    <w:lvl w:ilvl="1">
      <w:start w:val="2"/>
      <w:numFmt w:val="decimal"/>
      <w:lvlText w:val="%1.%2"/>
      <w:lvlJc w:val="left"/>
      <w:pPr>
        <w:ind w:left="948" w:hanging="416"/>
        <w:jc w:val="left"/>
      </w:pPr>
      <w:rPr>
        <w:rFonts w:hint="default" w:ascii="黑体" w:hAnsi="黑体" w:eastAsia="黑体" w:cs="黑体"/>
        <w:spacing w:val="0"/>
        <w:w w:val="99"/>
        <w:sz w:val="20"/>
        <w:szCs w:val="20"/>
      </w:rPr>
    </w:lvl>
    <w:lvl w:ilvl="2">
      <w:start w:val="1"/>
      <w:numFmt w:val="decimal"/>
      <w:lvlText w:val="%1.%2.%3"/>
      <w:lvlJc w:val="left"/>
      <w:pPr>
        <w:ind w:left="1179" w:hanging="624"/>
        <w:jc w:val="left"/>
      </w:pPr>
      <w:rPr>
        <w:rFonts w:hint="default" w:ascii="黑体" w:hAnsi="黑体" w:eastAsia="黑体" w:cs="黑体"/>
        <w:spacing w:val="0"/>
        <w:w w:val="99"/>
        <w:sz w:val="20"/>
        <w:szCs w:val="20"/>
      </w:rPr>
    </w:lvl>
    <w:lvl w:ilvl="3">
      <w:start w:val="0"/>
      <w:numFmt w:val="bullet"/>
      <w:lvlText w:val="•"/>
      <w:lvlJc w:val="left"/>
      <w:pPr>
        <w:ind w:left="3163" w:hanging="624"/>
      </w:pPr>
      <w:rPr>
        <w:rFonts w:hint="default"/>
      </w:rPr>
    </w:lvl>
    <w:lvl w:ilvl="4">
      <w:start w:val="0"/>
      <w:numFmt w:val="bullet"/>
      <w:lvlText w:val="•"/>
      <w:lvlJc w:val="left"/>
      <w:pPr>
        <w:ind w:left="4155" w:hanging="624"/>
      </w:pPr>
      <w:rPr>
        <w:rFonts w:hint="default"/>
      </w:rPr>
    </w:lvl>
    <w:lvl w:ilvl="5">
      <w:start w:val="0"/>
      <w:numFmt w:val="bullet"/>
      <w:lvlText w:val="•"/>
      <w:lvlJc w:val="left"/>
      <w:pPr>
        <w:ind w:left="5147" w:hanging="624"/>
      </w:pPr>
      <w:rPr>
        <w:rFonts w:hint="default"/>
      </w:rPr>
    </w:lvl>
    <w:lvl w:ilvl="6">
      <w:start w:val="0"/>
      <w:numFmt w:val="bullet"/>
      <w:lvlText w:val="•"/>
      <w:lvlJc w:val="left"/>
      <w:pPr>
        <w:ind w:left="6138" w:hanging="624"/>
      </w:pPr>
      <w:rPr>
        <w:rFonts w:hint="default"/>
      </w:rPr>
    </w:lvl>
    <w:lvl w:ilvl="7">
      <w:start w:val="0"/>
      <w:numFmt w:val="bullet"/>
      <w:lvlText w:val="•"/>
      <w:lvlJc w:val="left"/>
      <w:pPr>
        <w:ind w:left="7130" w:hanging="624"/>
      </w:pPr>
      <w:rPr>
        <w:rFonts w:hint="default"/>
      </w:rPr>
    </w:lvl>
    <w:lvl w:ilvl="8">
      <w:start w:val="0"/>
      <w:numFmt w:val="bullet"/>
      <w:lvlText w:val="•"/>
      <w:lvlJc w:val="left"/>
      <w:pPr>
        <w:ind w:left="8122" w:hanging="624"/>
      </w:pPr>
      <w:rPr>
        <w:rFonts w:hint="default"/>
      </w:rPr>
    </w:lvl>
  </w:abstractNum>
  <w:abstractNum w:abstractNumId="1">
    <w:multiLevelType w:val="hybridMultilevel"/>
    <w:lvl w:ilvl="0">
      <w:start w:val="3"/>
      <w:numFmt w:val="decimal"/>
      <w:lvlText w:val="%1"/>
      <w:lvlJc w:val="left"/>
      <w:pPr>
        <w:ind w:left="960" w:hanging="423"/>
        <w:jc w:val="left"/>
      </w:pPr>
      <w:rPr>
        <w:rFonts w:hint="default"/>
      </w:rPr>
    </w:lvl>
    <w:lvl w:ilvl="1">
      <w:start w:val="1"/>
      <w:numFmt w:val="decimal"/>
      <w:lvlText w:val="%1.%2"/>
      <w:lvlJc w:val="left"/>
      <w:pPr>
        <w:ind w:left="960" w:hanging="423"/>
        <w:jc w:val="left"/>
      </w:pPr>
      <w:rPr>
        <w:rFonts w:hint="default" w:ascii="黑体" w:hAnsi="黑体" w:eastAsia="黑体" w:cs="黑体"/>
        <w:spacing w:val="0"/>
        <w:w w:val="99"/>
        <w:sz w:val="20"/>
        <w:szCs w:val="20"/>
      </w:rPr>
    </w:lvl>
    <w:lvl w:ilvl="2">
      <w:start w:val="1"/>
      <w:numFmt w:val="decimal"/>
      <w:lvlText w:val="%1.%2.%3"/>
      <w:lvlJc w:val="left"/>
      <w:pPr>
        <w:ind w:left="116" w:hanging="668"/>
        <w:jc w:val="left"/>
      </w:pPr>
      <w:rPr>
        <w:rFonts w:hint="default" w:ascii="黑体" w:hAnsi="黑体" w:eastAsia="黑体" w:cs="黑体"/>
        <w:spacing w:val="0"/>
        <w:w w:val="99"/>
        <w:sz w:val="20"/>
        <w:szCs w:val="20"/>
      </w:rPr>
    </w:lvl>
    <w:lvl w:ilvl="3">
      <w:start w:val="0"/>
      <w:numFmt w:val="bullet"/>
      <w:lvlText w:val="•"/>
      <w:lvlJc w:val="left"/>
      <w:pPr>
        <w:ind w:left="2992" w:hanging="668"/>
      </w:pPr>
      <w:rPr>
        <w:rFonts w:hint="default"/>
      </w:rPr>
    </w:lvl>
    <w:lvl w:ilvl="4">
      <w:start w:val="0"/>
      <w:numFmt w:val="bullet"/>
      <w:lvlText w:val="•"/>
      <w:lvlJc w:val="left"/>
      <w:pPr>
        <w:ind w:left="4008" w:hanging="668"/>
      </w:pPr>
      <w:rPr>
        <w:rFonts w:hint="default"/>
      </w:rPr>
    </w:lvl>
    <w:lvl w:ilvl="5">
      <w:start w:val="0"/>
      <w:numFmt w:val="bullet"/>
      <w:lvlText w:val="•"/>
      <w:lvlJc w:val="left"/>
      <w:pPr>
        <w:ind w:left="5024" w:hanging="668"/>
      </w:pPr>
      <w:rPr>
        <w:rFonts w:hint="default"/>
      </w:rPr>
    </w:lvl>
    <w:lvl w:ilvl="6">
      <w:start w:val="0"/>
      <w:numFmt w:val="bullet"/>
      <w:lvlText w:val="•"/>
      <w:lvlJc w:val="left"/>
      <w:pPr>
        <w:ind w:left="6041" w:hanging="668"/>
      </w:pPr>
      <w:rPr>
        <w:rFonts w:hint="default"/>
      </w:rPr>
    </w:lvl>
    <w:lvl w:ilvl="7">
      <w:start w:val="0"/>
      <w:numFmt w:val="bullet"/>
      <w:lvlText w:val="•"/>
      <w:lvlJc w:val="left"/>
      <w:pPr>
        <w:ind w:left="7057" w:hanging="668"/>
      </w:pPr>
      <w:rPr>
        <w:rFonts w:hint="default"/>
      </w:rPr>
    </w:lvl>
    <w:lvl w:ilvl="8">
      <w:start w:val="0"/>
      <w:numFmt w:val="bullet"/>
      <w:lvlText w:val="•"/>
      <w:lvlJc w:val="left"/>
      <w:pPr>
        <w:ind w:left="8073" w:hanging="668"/>
      </w:pPr>
      <w:rPr>
        <w:rFonts w:hint="default"/>
      </w:rPr>
    </w:lvl>
  </w:abstractNum>
  <w:abstractNum w:abstractNumId="0">
    <w:multiLevelType w:val="hybridMultilevel"/>
    <w:lvl w:ilvl="0">
      <w:start w:val="2"/>
      <w:numFmt w:val="decimal"/>
      <w:lvlText w:val="%1"/>
      <w:lvlJc w:val="left"/>
      <w:pPr>
        <w:ind w:left="886" w:hanging="346"/>
        <w:jc w:val="left"/>
      </w:pPr>
      <w:rPr>
        <w:rFonts w:hint="default"/>
      </w:rPr>
    </w:lvl>
    <w:lvl w:ilvl="1">
      <w:start w:val="2"/>
      <w:numFmt w:val="decimal"/>
      <w:lvlText w:val="%1.%2"/>
      <w:lvlJc w:val="left"/>
      <w:pPr>
        <w:ind w:left="564" w:hanging="346"/>
        <w:jc w:val="left"/>
      </w:pPr>
      <w:rPr>
        <w:rFonts w:hint="default"/>
        <w:spacing w:val="0"/>
        <w:w w:val="99"/>
      </w:rPr>
    </w:lvl>
    <w:lvl w:ilvl="2">
      <w:start w:val="0"/>
      <w:numFmt w:val="bullet"/>
      <w:lvlText w:val="•"/>
      <w:lvlJc w:val="left"/>
      <w:pPr>
        <w:ind w:left="1905" w:hanging="346"/>
      </w:pPr>
      <w:rPr>
        <w:rFonts w:hint="default"/>
      </w:rPr>
    </w:lvl>
    <w:lvl w:ilvl="3">
      <w:start w:val="0"/>
      <w:numFmt w:val="bullet"/>
      <w:lvlText w:val="•"/>
      <w:lvlJc w:val="left"/>
      <w:pPr>
        <w:ind w:left="2930" w:hanging="346"/>
      </w:pPr>
      <w:rPr>
        <w:rFonts w:hint="default"/>
      </w:rPr>
    </w:lvl>
    <w:lvl w:ilvl="4">
      <w:start w:val="0"/>
      <w:numFmt w:val="bullet"/>
      <w:lvlText w:val="•"/>
      <w:lvlJc w:val="left"/>
      <w:pPr>
        <w:ind w:left="3955" w:hanging="346"/>
      </w:pPr>
      <w:rPr>
        <w:rFonts w:hint="default"/>
      </w:rPr>
    </w:lvl>
    <w:lvl w:ilvl="5">
      <w:start w:val="0"/>
      <w:numFmt w:val="bullet"/>
      <w:lvlText w:val="•"/>
      <w:lvlJc w:val="left"/>
      <w:pPr>
        <w:ind w:left="4980" w:hanging="346"/>
      </w:pPr>
      <w:rPr>
        <w:rFonts w:hint="default"/>
      </w:rPr>
    </w:lvl>
    <w:lvl w:ilvl="6">
      <w:start w:val="0"/>
      <w:numFmt w:val="bullet"/>
      <w:lvlText w:val="•"/>
      <w:lvlJc w:val="left"/>
      <w:pPr>
        <w:ind w:left="6005" w:hanging="346"/>
      </w:pPr>
      <w:rPr>
        <w:rFonts w:hint="default"/>
      </w:rPr>
    </w:lvl>
    <w:lvl w:ilvl="7">
      <w:start w:val="0"/>
      <w:numFmt w:val="bullet"/>
      <w:lvlText w:val="•"/>
      <w:lvlJc w:val="left"/>
      <w:pPr>
        <w:ind w:left="7030" w:hanging="346"/>
      </w:pPr>
      <w:rPr>
        <w:rFonts w:hint="default"/>
      </w:rPr>
    </w:lvl>
    <w:lvl w:ilvl="8">
      <w:start w:val="0"/>
      <w:numFmt w:val="bullet"/>
      <w:lvlText w:val="•"/>
      <w:lvlJc w:val="left"/>
      <w:pPr>
        <w:ind w:left="8055" w:hanging="346"/>
      </w:pPr>
      <w:rPr>
        <w:rFonts w:hint="default"/>
      </w:rPr>
    </w:lvl>
  </w:abstractNum>
  <w:num w:numId="7">
    <w:abstractNumId w:val="6"/>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TOC1" w:type="paragraph">
    <w:name w:val="TOC 1"/>
    <w:basedOn w:val="Normal"/>
    <w:uiPriority w:val="1"/>
    <w:qFormat/>
    <w:pPr>
      <w:spacing w:before="158"/>
      <w:ind w:left="115"/>
    </w:pPr>
    <w:rPr>
      <w:rFonts w:ascii="宋体" w:hAnsi="宋体" w:eastAsia="宋体" w:cs="宋体"/>
      <w:sz w:val="24"/>
      <w:szCs w:val="24"/>
    </w:rPr>
  </w:style>
  <w:style w:styleId="BodyText" w:type="paragraph">
    <w:name w:val="Body Text"/>
    <w:basedOn w:val="Normal"/>
    <w:uiPriority w:val="1"/>
    <w:qFormat/>
    <w:pPr/>
    <w:rPr>
      <w:rFonts w:ascii="宋体" w:hAnsi="宋体" w:eastAsia="宋体" w:cs="宋体"/>
      <w:sz w:val="20"/>
      <w:szCs w:val="20"/>
    </w:rPr>
  </w:style>
  <w:style w:styleId="Heading1" w:type="paragraph">
    <w:name w:val="Heading 1"/>
    <w:basedOn w:val="Normal"/>
    <w:uiPriority w:val="1"/>
    <w:qFormat/>
    <w:pPr>
      <w:spacing w:before="33"/>
      <w:ind w:left="355"/>
      <w:outlineLvl w:val="1"/>
    </w:pPr>
    <w:rPr>
      <w:rFonts w:ascii="宋体" w:hAnsi="宋体" w:eastAsia="宋体" w:cs="宋体"/>
      <w:b/>
      <w:bCs/>
      <w:sz w:val="35"/>
      <w:szCs w:val="35"/>
    </w:rPr>
  </w:style>
  <w:style w:styleId="Heading2" w:type="paragraph">
    <w:name w:val="Heading 2"/>
    <w:basedOn w:val="Normal"/>
    <w:uiPriority w:val="1"/>
    <w:qFormat/>
    <w:pPr>
      <w:ind w:left="756" w:right="4069"/>
      <w:outlineLvl w:val="2"/>
    </w:pPr>
    <w:rPr>
      <w:rFonts w:ascii="仿宋" w:hAnsi="仿宋" w:eastAsia="仿宋" w:cs="仿宋"/>
      <w:sz w:val="32"/>
      <w:szCs w:val="32"/>
    </w:rPr>
  </w:style>
  <w:style w:styleId="Heading3" w:type="paragraph">
    <w:name w:val="Heading 3"/>
    <w:basedOn w:val="Normal"/>
    <w:uiPriority w:val="1"/>
    <w:qFormat/>
    <w:pPr>
      <w:ind w:left="355"/>
      <w:outlineLvl w:val="3"/>
    </w:pPr>
    <w:rPr>
      <w:rFonts w:ascii="宋体" w:hAnsi="宋体" w:eastAsia="宋体" w:cs="宋体"/>
      <w:b/>
      <w:bCs/>
      <w:sz w:val="31"/>
      <w:szCs w:val="31"/>
    </w:rPr>
  </w:style>
  <w:style w:styleId="Heading4" w:type="paragraph">
    <w:name w:val="Heading 4"/>
    <w:basedOn w:val="Normal"/>
    <w:uiPriority w:val="1"/>
    <w:qFormat/>
    <w:pPr>
      <w:ind w:left="751"/>
      <w:outlineLvl w:val="4"/>
    </w:pPr>
    <w:rPr>
      <w:rFonts w:ascii="黑体" w:hAnsi="黑体" w:eastAsia="黑体" w:cs="黑体"/>
      <w:sz w:val="31"/>
      <w:szCs w:val="31"/>
    </w:rPr>
  </w:style>
  <w:style w:styleId="Heading5" w:type="paragraph">
    <w:name w:val="Heading 5"/>
    <w:basedOn w:val="Normal"/>
    <w:uiPriority w:val="1"/>
    <w:qFormat/>
    <w:pPr>
      <w:ind w:left="355" w:right="355"/>
      <w:jc w:val="center"/>
      <w:outlineLvl w:val="5"/>
    </w:pPr>
    <w:rPr>
      <w:rFonts w:ascii="宋体" w:hAnsi="宋体" w:eastAsia="宋体" w:cs="宋体"/>
      <w:b/>
      <w:bCs/>
      <w:sz w:val="30"/>
      <w:szCs w:val="30"/>
    </w:rPr>
  </w:style>
  <w:style w:styleId="Heading6" w:type="paragraph">
    <w:name w:val="Heading 6"/>
    <w:basedOn w:val="Normal"/>
    <w:uiPriority w:val="1"/>
    <w:qFormat/>
    <w:pPr>
      <w:ind w:left="910"/>
      <w:outlineLvl w:val="6"/>
    </w:pPr>
    <w:rPr>
      <w:rFonts w:ascii="宋体" w:hAnsi="宋体" w:eastAsia="宋体" w:cs="宋体"/>
      <w:b/>
      <w:bCs/>
      <w:sz w:val="28"/>
      <w:szCs w:val="28"/>
    </w:rPr>
  </w:style>
  <w:style w:styleId="Heading7" w:type="paragraph">
    <w:name w:val="Heading 7"/>
    <w:basedOn w:val="Normal"/>
    <w:uiPriority w:val="1"/>
    <w:qFormat/>
    <w:pPr>
      <w:ind w:left="1308"/>
      <w:outlineLvl w:val="7"/>
    </w:pPr>
    <w:rPr>
      <w:rFonts w:ascii="黑体" w:hAnsi="黑体" w:eastAsia="黑体" w:cs="黑体"/>
      <w:sz w:val="28"/>
      <w:szCs w:val="28"/>
    </w:rPr>
  </w:style>
  <w:style w:styleId="Heading8" w:type="paragraph">
    <w:name w:val="Heading 8"/>
    <w:basedOn w:val="Normal"/>
    <w:uiPriority w:val="1"/>
    <w:qFormat/>
    <w:pPr>
      <w:ind w:left="595"/>
      <w:outlineLvl w:val="8"/>
    </w:pPr>
    <w:rPr>
      <w:rFonts w:ascii="宋体" w:hAnsi="宋体" w:eastAsia="宋体" w:cs="宋体"/>
      <w:b/>
      <w:bCs/>
      <w:sz w:val="24"/>
      <w:szCs w:val="24"/>
    </w:rPr>
  </w:style>
  <w:style w:styleId="Heading9" w:type="paragraph">
    <w:name w:val="Heading 9"/>
    <w:basedOn w:val="Normal"/>
    <w:uiPriority w:val="1"/>
    <w:qFormat/>
    <w:pPr>
      <w:ind w:left="115" w:firstLine="480"/>
      <w:outlineLvl w:val="9"/>
    </w:pPr>
    <w:rPr>
      <w:rFonts w:ascii="宋体" w:hAnsi="宋体" w:eastAsia="宋体" w:cs="宋体"/>
      <w:sz w:val="24"/>
      <w:szCs w:val="24"/>
    </w:rPr>
  </w:style>
  <w:style w:styleId="ListParagraph" w:type="paragraph">
    <w:name w:val="List Paragraph"/>
    <w:basedOn w:val="Normal"/>
    <w:uiPriority w:val="1"/>
    <w:qFormat/>
    <w:pPr>
      <w:ind w:left="116" w:firstLine="480"/>
    </w:pPr>
    <w:rPr>
      <w:rFonts w:ascii="宋体" w:hAnsi="宋体" w:eastAsia="宋体" w:cs="宋体"/>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 TargetMode="External"/><Relationship Id="rId7" Type="http://schemas.openxmlformats.org/officeDocument/2006/relationships/hyperlink" Target="http://www.gsxt.gov.cn/" TargetMode="External"/><Relationship Id="rId8" Type="http://schemas.openxmlformats.org/officeDocument/2006/relationships/hyperlink" Target="http://www.hebztb.com/%E8%87%AA%E4%B8%BB%E7%BD%91%E4%B8%8A%E6%8A%A5%E5%90%8D" TargetMode="External"/><Relationship Id="rId9" Type="http://schemas.openxmlformats.org/officeDocument/2006/relationships/hyperlink" Target="http://www.hebztb.com/%E4%B8%8A%E4%BC%A0%E5%8A%A0%E5%AF%86%E7%9A%84%E7%94%B5%E5%AD%90%E6%8A%95" TargetMode="External"/><Relationship Id="rId10" Type="http://schemas.openxmlformats.org/officeDocument/2006/relationships/hyperlink" Target="http://www.hebeieb.com/" TargetMode="External"/><Relationship Id="rId11" Type="http://schemas.openxmlformats.org/officeDocument/2006/relationships/hyperlink" Target="http://www.hebztb.com/" TargetMode="External"/><Relationship Id="rId12" Type="http://schemas.openxmlformats.org/officeDocument/2006/relationships/hyperlink" Target="mailto:drxnykf@sina.com" TargetMode="External"/><Relationship Id="rId13" Type="http://schemas.openxmlformats.org/officeDocument/2006/relationships/hyperlink" Target="mailto:946437377@qq.com" TargetMode="External"/><Relationship Id="rId14" Type="http://schemas.openxmlformats.org/officeDocument/2006/relationships/hyperlink" Target="http://www.creditchina.gov.cn/" TargetMode="External"/><Relationship Id="rId15" Type="http://schemas.openxmlformats.org/officeDocument/2006/relationships/hyperlink" Target="http://www.hebztb.com/%E5%8F%91%E5%87%BA" TargetMode="External"/><Relationship Id="rId16" Type="http://schemas.openxmlformats.org/officeDocument/2006/relationships/hyperlink" Target="http://www.hebztb.com/%E5%88%B6%E4%BD%9C%E5%92%8C%E5%8A%A0%E5%AF%86" TargetMode="External"/><Relationship Id="rId17" Type="http://schemas.openxmlformats.org/officeDocument/2006/relationships/hyperlink" Target="http://www.zbdrxny.com/" TargetMode="External"/><Relationship Id="rId18" Type="http://schemas.openxmlformats.org/officeDocument/2006/relationships/hyperlink" Target="http://www.hebztb.com/%E4%B8%8A%E4%BC%A0%E7%9A%84" TargetMode="External"/><Relationship Id="rId19" Type="http://schemas.openxmlformats.org/officeDocument/2006/relationships/hyperlink" Target="http://www.hebztb.com/%E7%B3%BB" TargetMode="Externa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footer" Target="footer5.xml"/><Relationship Id="rId24" Type="http://schemas.openxmlformats.org/officeDocument/2006/relationships/footer" Target="footer6.xml"/><Relationship Id="rId25" Type="http://schemas.openxmlformats.org/officeDocument/2006/relationships/footer" Target="footer7.xml"/><Relationship Id="rId26" Type="http://schemas.openxmlformats.org/officeDocument/2006/relationships/footer" Target="footer8.xml"/><Relationship Id="rId27" Type="http://schemas.openxmlformats.org/officeDocument/2006/relationships/footer" Target="footer9.xml"/><Relationship Id="rId28" Type="http://schemas.openxmlformats.org/officeDocument/2006/relationships/footer" Target="footer10.xm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2025-06-13T01:17:47Z</dcterms:created>
  <dcterms:modified xsi:type="dcterms:W3CDTF">2025-06-13T01:17:47Z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Creator">
    <vt:lpwstr>WPS 文字</vt:lpwstr>
  </property>
  <property fmtid="{D5CDD505-2E9C-101B-9397-08002B2CF9AE}" pid="4" name="LastSaved">
    <vt:filetime>2025-06-13T00:00:00Z</vt:filetime>
  </property>
</Properties>
</file>