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67F01">
      <w:pPr>
        <w:spacing w:before="100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张北县大容新能源开发有限公司</w:t>
      </w:r>
    </w:p>
    <w:p w14:paraId="5F8F4CE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关于对兴荣公司开展资产评估服务</w:t>
      </w:r>
    </w:p>
    <w:p w14:paraId="568D286B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询价邀请函</w:t>
      </w:r>
    </w:p>
    <w:p w14:paraId="7D64B824">
      <w:pPr>
        <w:spacing w:line="222" w:lineRule="auto"/>
        <w:ind w:firstLine="604" w:firstLineChars="200"/>
        <w:outlineLvl w:val="2"/>
        <w:rPr>
          <w:rFonts w:hint="default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因公司业务发展，拟公开转让大容公司持有兴荣公司100%股权。根据国有资产管理及相关法律法规的规定，需委托具备资质的专业资产评估机构对兴荣公司进行资产评估，并出具合法有效的资产评估报告。符合资质的单位如有意愿参与本项目资产评估服务，请按照函告要求进行报价，具体要求如下：</w:t>
      </w:r>
    </w:p>
    <w:p w14:paraId="15F12082">
      <w:pPr>
        <w:numPr>
          <w:ilvl w:val="0"/>
          <w:numId w:val="0"/>
        </w:numPr>
        <w:spacing w:line="222" w:lineRule="auto"/>
        <w:ind w:left="-26" w:leftChars="0" w:firstLine="656" w:firstLineChars="0"/>
        <w:outlineLvl w:val="2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评估公司情况</w:t>
      </w:r>
    </w:p>
    <w:p w14:paraId="050AB307">
      <w:pPr>
        <w:spacing w:line="222" w:lineRule="auto"/>
        <w:ind w:firstLine="604" w:firstLineChars="200"/>
        <w:outlineLvl w:val="2"/>
        <w:rPr>
          <w:rFonts w:hint="default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兴荣公司</w:t>
      </w: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2024年01月09日成立,</w:t>
      </w: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股东为张北县大容新能源有限公司，占股100%。</w:t>
      </w:r>
    </w:p>
    <w:p w14:paraId="2B121372">
      <w:pPr>
        <w:spacing w:line="222" w:lineRule="auto"/>
        <w:ind w:firstLine="656" w:firstLineChars="200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二、服务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内容</w:t>
      </w:r>
    </w:p>
    <w:p w14:paraId="02693C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04" w:firstLineChars="200"/>
        <w:textAlignment w:val="baseline"/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 xml:space="preserve">受托机构需按照国家相关法律法规、资产评估准则及委托方要求，对兴荣公司的全部资产、负债进行全面清查核实，采用合理评估方法确定其在评估基准日的市场价值，最终出具具备合规性、专业性的资产评估报告，报送县财政局核准。   </w:t>
      </w:r>
    </w:p>
    <w:p w14:paraId="5F0FF1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0" w:leftChars="0" w:right="0" w:rightChars="0" w:firstLine="620" w:firstLineChars="0"/>
        <w:textAlignment w:val="baseline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三、报价要求</w:t>
      </w:r>
    </w:p>
    <w:p w14:paraId="59ECD3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本项目评估服务费参照河北省物价局、河北省财政厅关于印发《河北省资产评估收费管理办法》和《河北省法定资产评估服务实行收费标准》冀价经费【2011】9号的文件。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本项目报价包含了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评估服务费、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人工费、差旅费、食宿费、保险、税金等全部费用。</w:t>
      </w:r>
    </w:p>
    <w:p w14:paraId="3B613AF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0" w:leftChars="0" w:right="0" w:rightChars="0" w:firstLine="620" w:firstLineChars="0"/>
        <w:textAlignment w:val="baseline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四、机构资质要求</w:t>
      </w:r>
    </w:p>
    <w:p w14:paraId="4BCB64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4" w:firstLineChars="200"/>
        <w:textAlignment w:val="baseline"/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（一）具备资产评估相关资质证书，近三年无不良执业记录；</w:t>
      </w:r>
    </w:p>
    <w:p w14:paraId="4B2475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4" w:firstLineChars="200"/>
        <w:textAlignment w:val="baseline"/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（二）指派团队需含资深评估师，且有同类企业资产评估经验；</w:t>
      </w:r>
    </w:p>
    <w:p w14:paraId="472134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4" w:firstLineChars="200"/>
        <w:textAlignment w:val="baseline"/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（三）自资料齐备之日起10个工作日内完成评估并提交报告初稿；</w:t>
      </w:r>
    </w:p>
    <w:p w14:paraId="060BF7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、应提交的材料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加盖公章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）</w:t>
      </w:r>
    </w:p>
    <w:p w14:paraId="358C19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（一）企业简介；</w:t>
      </w:r>
    </w:p>
    <w:p w14:paraId="2D31EC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（二）营业执照；</w:t>
      </w:r>
    </w:p>
    <w:p w14:paraId="11F2D3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（三）资产评估资格证书</w:t>
      </w:r>
    </w:p>
    <w:p w14:paraId="5AAEC2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 xml:space="preserve">（四）法定代表人身份证复印件； </w:t>
      </w:r>
    </w:p>
    <w:p w14:paraId="6B3702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（五）相关业绩（如有）；</w:t>
      </w:r>
    </w:p>
    <w:p w14:paraId="62772A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（六）报价文件（文件格式详见附件）。</w:t>
      </w:r>
    </w:p>
    <w:p w14:paraId="53435C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、报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时间、地点、联系方式</w:t>
      </w:r>
    </w:p>
    <w:p w14:paraId="2D6D6A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报送截止时间：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20025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下午5点前。各参选单位将参选资料的纸质文件邮寄/送至我单位3份。有关材料须密封并装订完好，不接受活页材料。</w:t>
      </w:r>
    </w:p>
    <w:p w14:paraId="280D61A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（二）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报送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地点：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张北县张库大道旧林业局二楼办公室</w:t>
      </w:r>
    </w:p>
    <w:p w14:paraId="7C98F2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（三）联系人：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章海霞、张凯杰</w:t>
      </w:r>
    </w:p>
    <w:p w14:paraId="6359BA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550" w:firstLineChars="5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联系电话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eastAsia="zh-CN"/>
        </w:rPr>
        <w:t>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0313-5330034</w:t>
      </w:r>
    </w:p>
    <w:p w14:paraId="2CB9DD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10" w:firstLineChars="1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 xml:space="preserve">        电子邮箱：drxnykf@sina.com          </w:t>
      </w:r>
    </w:p>
    <w:p w14:paraId="7DBD8B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720" w:firstLineChars="1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</w:pPr>
    </w:p>
    <w:p w14:paraId="3A629C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720" w:firstLineChars="1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张北县大容新能源开发有限公司</w:t>
      </w:r>
    </w:p>
    <w:p w14:paraId="6E97047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 xml:space="preserve">                            2025年12月1日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color="auto" w:fill="FFFFFF"/>
        </w:rPr>
        <w:t>    </w:t>
      </w:r>
      <w:bookmarkStart w:id="0" w:name="_GoBack"/>
      <w:bookmarkEnd w:id="0"/>
    </w:p>
    <w:p w14:paraId="118A0D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附件：</w:t>
      </w:r>
    </w:p>
    <w:p w14:paraId="2F052C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报价函（格式）</w:t>
      </w:r>
    </w:p>
    <w:p w14:paraId="59D1B0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报价函</w:t>
      </w:r>
    </w:p>
    <w:p w14:paraId="0996D0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张北县大容新能源开发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53CCBB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在充分研究对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张北县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大容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新能源开发有限公司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关于对兴荣公司开展资产评估报告服务询价邀请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中规定的要求和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后，我方愿意以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被评估资产账面原值为计费依据，采取差额定律累进计算办法收取评估费用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%报价。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按照报价文件所述的期限及相关要求承揽所有委托内容。</w:t>
      </w:r>
    </w:p>
    <w:p w14:paraId="2C6680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如果我方的申请被接受，我方将按照报价文件的要求，本着“公开、公平、公正”的原则，在规定期限内完成合同签订。</w:t>
      </w:r>
    </w:p>
    <w:p w14:paraId="4553B1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我们将按报价文件的规定，提供报价人要求的资料，并保证递交的报价文件的真实性、完整性。</w:t>
      </w:r>
    </w:p>
    <w:p w14:paraId="063B49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 w14:paraId="51E3DE5C">
      <w:pPr>
        <w:pStyle w:val="2"/>
        <w:ind w:left="0" w:leftChars="0"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报价人：</w:t>
      </w:r>
    </w:p>
    <w:p w14:paraId="0BB383A9">
      <w:pPr>
        <w:pStyle w:val="2"/>
        <w:ind w:left="0" w:leftChars="0" w:firstLine="0" w:firstLineChars="0"/>
        <w:jc w:val="center"/>
        <w:rPr>
          <w:rFonts w:hint="default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</w:t>
      </w:r>
    </w:p>
    <w:p w14:paraId="1ED03AE8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</w:p>
    <w:p w14:paraId="23340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8679A"/>
    <w:rsid w:val="02905705"/>
    <w:rsid w:val="0F88646E"/>
    <w:rsid w:val="1CD65B0A"/>
    <w:rsid w:val="2EED2995"/>
    <w:rsid w:val="3E0632F5"/>
    <w:rsid w:val="3F676329"/>
    <w:rsid w:val="40051CAA"/>
    <w:rsid w:val="4612318B"/>
    <w:rsid w:val="46366A55"/>
    <w:rsid w:val="505A1790"/>
    <w:rsid w:val="541A29DA"/>
    <w:rsid w:val="56116DDD"/>
    <w:rsid w:val="64B61035"/>
    <w:rsid w:val="6AB0067A"/>
    <w:rsid w:val="6B997CC8"/>
    <w:rsid w:val="6DE9029B"/>
    <w:rsid w:val="71AB7A47"/>
    <w:rsid w:val="7EF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1054</Characters>
  <Lines>0</Lines>
  <Paragraphs>0</Paragraphs>
  <TotalTime>107</TotalTime>
  <ScaleCrop>false</ScaleCrop>
  <LinksUpToDate>false</LinksUpToDate>
  <CharactersWithSpaces>1174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2025-11-06T07:10:00Z</dcterms:created>
  <dc:creator>。</dc:creator>
  <cp:lastModifiedBy>。</cp:lastModifiedBy>
  <cp:lastPrinted>2025-12-02T07:42:00Z</cp:lastPrinted>
  <dcterms:modified xsi:type="dcterms:W3CDTF">2025-12-04T01:49:49Z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0548D95ACC814A6980BEFD1455390A40_13</vt:lpwstr>
  </property>
  <property fmtid="{D5CDD505-2E9C-101B-9397-08002B2CF9AE}" pid="4" name="KSOTemplateDocerSaveRecord">
    <vt:lpwstr>eyJoZGlkIjoiNWQwN2FiNzYxZjliM2NjYTI5NTVmNGI3NDY5NDRhMzMiLCJ1c2VySWQiOiIxMjAxOTgwNTYwIn0=</vt:lpwstr>
  </property>
</Properties>
</file>